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62D65" w14:textId="30B4734F" w:rsidR="007F4774" w:rsidRDefault="007F4774" w:rsidP="00260F61">
      <w:pPr>
        <w:pStyle w:val="NormalWeb"/>
        <w:spacing w:before="240" w:beforeAutospacing="0" w:after="240" w:afterAutospacing="0"/>
        <w:jc w:val="center"/>
        <w:rPr>
          <w:rFonts w:ascii="Arial" w:hAnsi="Arial" w:cs="Arial"/>
          <w:b/>
          <w:bCs/>
          <w:color w:val="000000"/>
          <w:sz w:val="22"/>
          <w:szCs w:val="22"/>
        </w:rPr>
      </w:pPr>
      <w:r w:rsidRPr="00A278B1">
        <w:rPr>
          <w:rFonts w:ascii="Arial" w:hAnsi="Arial" w:cs="Arial"/>
          <w:b/>
          <w:bCs/>
          <w:color w:val="000000"/>
          <w:sz w:val="22"/>
          <w:szCs w:val="22"/>
        </w:rPr>
        <w:t>ANÁLISE INTRAURBANA DA</w:t>
      </w:r>
      <w:r w:rsidR="00F2681B" w:rsidRPr="00A278B1">
        <w:rPr>
          <w:rFonts w:ascii="Arial" w:hAnsi="Arial" w:cs="Arial"/>
          <w:b/>
          <w:bCs/>
          <w:color w:val="000000"/>
          <w:sz w:val="22"/>
          <w:szCs w:val="22"/>
        </w:rPr>
        <w:t xml:space="preserve"> INCIDÊNCIA E MORTALIDADE POR</w:t>
      </w:r>
      <w:r w:rsidRPr="00A278B1">
        <w:rPr>
          <w:rFonts w:ascii="Arial" w:hAnsi="Arial" w:cs="Arial"/>
          <w:b/>
          <w:bCs/>
          <w:color w:val="000000"/>
          <w:sz w:val="22"/>
          <w:szCs w:val="22"/>
        </w:rPr>
        <w:t xml:space="preserve"> COVID-19 NA CIDADE DE MARINGÁ-PR</w:t>
      </w:r>
      <w:r w:rsidR="009E46B0">
        <w:rPr>
          <w:rFonts w:ascii="Arial" w:hAnsi="Arial" w:cs="Arial"/>
          <w:b/>
          <w:bCs/>
          <w:color w:val="000000"/>
          <w:sz w:val="22"/>
          <w:szCs w:val="22"/>
        </w:rPr>
        <w:t xml:space="preserve"> </w:t>
      </w:r>
    </w:p>
    <w:p w14:paraId="001DA6BD" w14:textId="77777777" w:rsidR="009E46B0" w:rsidRDefault="002D45E5" w:rsidP="009E46B0">
      <w:pPr>
        <w:pStyle w:val="NormalWeb"/>
        <w:spacing w:before="0" w:beforeAutospacing="0" w:after="0" w:afterAutospacing="0"/>
        <w:jc w:val="right"/>
        <w:rPr>
          <w:rFonts w:ascii="Arial" w:hAnsi="Arial" w:cs="Arial"/>
          <w:color w:val="000000"/>
          <w:sz w:val="20"/>
          <w:szCs w:val="20"/>
        </w:rPr>
      </w:pPr>
      <w:r>
        <w:rPr>
          <w:rFonts w:ascii="Arial" w:hAnsi="Arial" w:cs="Arial"/>
          <w:color w:val="000000"/>
          <w:sz w:val="20"/>
          <w:szCs w:val="20"/>
        </w:rPr>
        <w:t xml:space="preserve">FRANCISCO, </w:t>
      </w:r>
      <w:r w:rsidR="00720C2C" w:rsidRPr="00BD40C8">
        <w:rPr>
          <w:rFonts w:ascii="Arial" w:hAnsi="Arial" w:cs="Arial"/>
          <w:color w:val="000000"/>
          <w:sz w:val="20"/>
          <w:szCs w:val="20"/>
        </w:rPr>
        <w:t>Ícaro da Costa</w:t>
      </w:r>
      <w:r w:rsidR="009E46B0">
        <w:rPr>
          <w:rStyle w:val="Refdenotaderodap"/>
          <w:rFonts w:ascii="Arial" w:hAnsi="Arial" w:cs="Arial"/>
          <w:color w:val="000000"/>
          <w:sz w:val="20"/>
          <w:szCs w:val="20"/>
        </w:rPr>
        <w:footnoteReference w:id="1"/>
      </w:r>
    </w:p>
    <w:p w14:paraId="71102424" w14:textId="2A1198BF" w:rsidR="009E46B0" w:rsidRDefault="002D45E5" w:rsidP="009E46B0">
      <w:pPr>
        <w:pStyle w:val="NormalWeb"/>
        <w:spacing w:before="0" w:beforeAutospacing="0" w:after="0" w:afterAutospacing="0"/>
        <w:jc w:val="right"/>
        <w:rPr>
          <w:rFonts w:ascii="Arial" w:hAnsi="Arial" w:cs="Arial"/>
          <w:color w:val="000000"/>
          <w:sz w:val="20"/>
          <w:szCs w:val="20"/>
        </w:rPr>
      </w:pPr>
      <w:r>
        <w:rPr>
          <w:rFonts w:ascii="Arial" w:hAnsi="Arial" w:cs="Arial"/>
          <w:color w:val="000000"/>
          <w:sz w:val="20"/>
          <w:szCs w:val="20"/>
        </w:rPr>
        <w:t xml:space="preserve">GAZOLA, </w:t>
      </w:r>
      <w:r w:rsidR="008C065D" w:rsidRPr="00BD40C8">
        <w:rPr>
          <w:rFonts w:ascii="Arial" w:hAnsi="Arial" w:cs="Arial"/>
          <w:color w:val="000000"/>
          <w:sz w:val="20"/>
          <w:szCs w:val="20"/>
        </w:rPr>
        <w:t>Bianca Diana</w:t>
      </w:r>
      <w:r w:rsidR="009E46B0">
        <w:rPr>
          <w:rStyle w:val="Refdenotaderodap"/>
          <w:rFonts w:ascii="Arial" w:hAnsi="Arial" w:cs="Arial"/>
          <w:color w:val="000000"/>
          <w:sz w:val="20"/>
          <w:szCs w:val="20"/>
        </w:rPr>
        <w:footnoteReference w:id="2"/>
      </w:r>
    </w:p>
    <w:p w14:paraId="56D41AC3" w14:textId="0C9261DA" w:rsidR="008C065D" w:rsidRPr="00BD40C8" w:rsidRDefault="002D45E5" w:rsidP="009E46B0">
      <w:pPr>
        <w:pStyle w:val="NormalWeb"/>
        <w:spacing w:before="0" w:beforeAutospacing="0" w:after="0" w:afterAutospacing="0"/>
        <w:jc w:val="right"/>
        <w:rPr>
          <w:rFonts w:ascii="Arial" w:hAnsi="Arial" w:cs="Arial"/>
          <w:color w:val="000000"/>
          <w:sz w:val="20"/>
          <w:szCs w:val="20"/>
        </w:rPr>
      </w:pPr>
      <w:r>
        <w:rPr>
          <w:rFonts w:ascii="Arial" w:hAnsi="Arial" w:cs="Arial"/>
          <w:color w:val="000000"/>
          <w:sz w:val="20"/>
          <w:szCs w:val="20"/>
        </w:rPr>
        <w:t xml:space="preserve">AUGUSTO, </w:t>
      </w:r>
      <w:r w:rsidR="008C065D" w:rsidRPr="00BD40C8">
        <w:rPr>
          <w:rFonts w:ascii="Arial" w:hAnsi="Arial" w:cs="Arial"/>
          <w:color w:val="000000"/>
          <w:sz w:val="20"/>
          <w:szCs w:val="20"/>
        </w:rPr>
        <w:t>Ingrid Januário</w:t>
      </w:r>
      <w:r w:rsidR="009E46B0">
        <w:rPr>
          <w:rStyle w:val="Refdenotaderodap"/>
          <w:rFonts w:ascii="Arial" w:hAnsi="Arial" w:cs="Arial"/>
          <w:color w:val="000000"/>
          <w:sz w:val="20"/>
          <w:szCs w:val="20"/>
        </w:rPr>
        <w:footnoteReference w:id="3"/>
      </w:r>
    </w:p>
    <w:p w14:paraId="7D08646F" w14:textId="207C81EE" w:rsidR="008C065D" w:rsidRDefault="002D45E5" w:rsidP="009E46B0">
      <w:pPr>
        <w:pStyle w:val="NormalWeb"/>
        <w:spacing w:before="0" w:beforeAutospacing="0" w:after="0" w:afterAutospacing="0"/>
        <w:jc w:val="right"/>
        <w:rPr>
          <w:rFonts w:ascii="Arial" w:hAnsi="Arial" w:cs="Arial"/>
          <w:color w:val="000000"/>
          <w:sz w:val="20"/>
          <w:szCs w:val="20"/>
          <w:vertAlign w:val="superscript"/>
        </w:rPr>
      </w:pPr>
      <w:r>
        <w:rPr>
          <w:rFonts w:ascii="Arial" w:hAnsi="Arial" w:cs="Arial"/>
          <w:color w:val="000000"/>
          <w:sz w:val="20"/>
          <w:szCs w:val="20"/>
        </w:rPr>
        <w:t xml:space="preserve">MARTINUCI, </w:t>
      </w:r>
      <w:r w:rsidR="008C065D" w:rsidRPr="00BD40C8">
        <w:rPr>
          <w:rFonts w:ascii="Arial" w:hAnsi="Arial" w:cs="Arial"/>
          <w:color w:val="000000"/>
          <w:sz w:val="20"/>
          <w:szCs w:val="20"/>
        </w:rPr>
        <w:t>Oséias da Silva</w:t>
      </w:r>
      <w:r w:rsidR="009E46B0">
        <w:rPr>
          <w:rStyle w:val="Refdenotaderodap"/>
          <w:rFonts w:ascii="Arial" w:hAnsi="Arial" w:cs="Arial"/>
          <w:color w:val="000000"/>
          <w:sz w:val="20"/>
          <w:szCs w:val="20"/>
        </w:rPr>
        <w:footnoteReference w:id="4"/>
      </w:r>
    </w:p>
    <w:p w14:paraId="4EB72748" w14:textId="2A6A6333" w:rsidR="002E78A7" w:rsidRPr="00A278B1" w:rsidRDefault="002E78A7" w:rsidP="009E46B0">
      <w:pPr>
        <w:pStyle w:val="NormalWeb"/>
        <w:spacing w:before="120" w:beforeAutospacing="0" w:after="120" w:afterAutospacing="0"/>
        <w:rPr>
          <w:rFonts w:ascii="Arial" w:hAnsi="Arial" w:cs="Arial"/>
        </w:rPr>
      </w:pPr>
      <w:r w:rsidRPr="00A278B1">
        <w:rPr>
          <w:rFonts w:ascii="Arial" w:hAnsi="Arial" w:cs="Arial"/>
          <w:b/>
          <w:bCs/>
          <w:color w:val="000000"/>
          <w:sz w:val="22"/>
          <w:szCs w:val="22"/>
        </w:rPr>
        <w:t>R</w:t>
      </w:r>
      <w:r w:rsidR="001910C1">
        <w:rPr>
          <w:rFonts w:ascii="Arial" w:hAnsi="Arial" w:cs="Arial"/>
          <w:b/>
          <w:bCs/>
          <w:color w:val="000000"/>
          <w:sz w:val="22"/>
          <w:szCs w:val="22"/>
        </w:rPr>
        <w:t>esumo</w:t>
      </w:r>
    </w:p>
    <w:p w14:paraId="636AD73C" w14:textId="74B4FD6B" w:rsidR="002E78A7" w:rsidRPr="009E46B0" w:rsidRDefault="002E78A7" w:rsidP="00C64154">
      <w:pPr>
        <w:pStyle w:val="NormalWeb"/>
        <w:spacing w:before="0" w:beforeAutospacing="0" w:after="0" w:afterAutospacing="0"/>
        <w:jc w:val="both"/>
        <w:rPr>
          <w:rFonts w:ascii="Arial" w:hAnsi="Arial" w:cs="Arial"/>
          <w:color w:val="000000"/>
          <w:sz w:val="20"/>
          <w:szCs w:val="20"/>
          <w:shd w:val="clear" w:color="auto" w:fill="FFFFFF"/>
        </w:rPr>
      </w:pPr>
      <w:r w:rsidRPr="009E46B0">
        <w:rPr>
          <w:rFonts w:ascii="Arial" w:hAnsi="Arial" w:cs="Arial"/>
          <w:color w:val="000000"/>
          <w:sz w:val="20"/>
          <w:szCs w:val="20"/>
          <w:shd w:val="clear" w:color="auto" w:fill="FFFFFF"/>
        </w:rPr>
        <w:t xml:space="preserve">O problema de saúde causado pelo vírus SARS-CoV-2 no ano de 2020 não teve precedentes na história. A alta transmissibilidade do vírus e sua dispersão a partir das redes técnicas de circulação levaram-no a alcançar a maioria dos países. A partir da sua entrada no Brasil, nos principais nós da rede urbana, ele se espalhou pelo interior do país. A ocorrência da covid-19 nas cidades, e os estudos da doença nessa escala, evidenciaram a diferença socioespacial com que áreas e grupos foram afetados. Partindo da concepção de </w:t>
      </w:r>
      <w:proofErr w:type="spellStart"/>
      <w:r w:rsidRPr="009E46B0">
        <w:rPr>
          <w:rFonts w:ascii="Arial" w:hAnsi="Arial" w:cs="Arial"/>
          <w:color w:val="000000"/>
          <w:sz w:val="20"/>
          <w:szCs w:val="20"/>
          <w:shd w:val="clear" w:color="auto" w:fill="FFFFFF"/>
        </w:rPr>
        <w:t>sindemia</w:t>
      </w:r>
      <w:proofErr w:type="spellEnd"/>
      <w:r w:rsidRPr="009E46B0">
        <w:rPr>
          <w:rFonts w:ascii="Arial" w:hAnsi="Arial" w:cs="Arial"/>
          <w:color w:val="000000"/>
          <w:sz w:val="20"/>
          <w:szCs w:val="20"/>
          <w:shd w:val="clear" w:color="auto" w:fill="FFFFFF"/>
        </w:rPr>
        <w:t>, considera-se que a problemática causada pela covid-19, sobretudo nas áreas urbanas, é determinada por fatores biológicos e sociais e, dessa maneira, afetam diferentemente os diferentes segmentos da população. A partir desse contexto, este trabalho busca analisar a dinâmica da covid-19 ao longo do período de um ano na cidade de Maringá-PR</w:t>
      </w:r>
      <w:r w:rsidRPr="009E46B0">
        <w:rPr>
          <w:rFonts w:ascii="Arial" w:hAnsi="Arial" w:cs="Arial"/>
          <w:color w:val="000000"/>
          <w:sz w:val="20"/>
          <w:szCs w:val="20"/>
        </w:rPr>
        <w:t xml:space="preserve">, assim como as características que a </w:t>
      </w:r>
      <w:proofErr w:type="spellStart"/>
      <w:r w:rsidRPr="009E46B0">
        <w:rPr>
          <w:rFonts w:ascii="Arial" w:hAnsi="Arial" w:cs="Arial"/>
          <w:color w:val="000000"/>
          <w:sz w:val="20"/>
          <w:szCs w:val="20"/>
        </w:rPr>
        <w:t>sindemia</w:t>
      </w:r>
      <w:proofErr w:type="spellEnd"/>
      <w:r w:rsidRPr="009E46B0">
        <w:rPr>
          <w:rFonts w:ascii="Arial" w:hAnsi="Arial" w:cs="Arial"/>
          <w:color w:val="000000"/>
          <w:sz w:val="20"/>
          <w:szCs w:val="20"/>
        </w:rPr>
        <w:t xml:space="preserve"> adquiriu na mesma.</w:t>
      </w:r>
      <w:r w:rsidRPr="009E46B0">
        <w:rPr>
          <w:rFonts w:ascii="Arial" w:hAnsi="Arial" w:cs="Arial"/>
          <w:color w:val="000000"/>
          <w:sz w:val="20"/>
          <w:szCs w:val="20"/>
          <w:shd w:val="clear" w:color="auto" w:fill="FFFFFF"/>
        </w:rPr>
        <w:t xml:space="preserve"> Tendo como objetivo, também, verificar se a distribuição de casos de covid-19 na cidade se explica pela condição social dos indivíduos. </w:t>
      </w:r>
    </w:p>
    <w:p w14:paraId="14663E6C" w14:textId="77777777" w:rsidR="00B41F83" w:rsidRDefault="00B41F83" w:rsidP="00C64154">
      <w:pPr>
        <w:pStyle w:val="NormalWeb"/>
        <w:spacing w:before="0" w:beforeAutospacing="0" w:after="0" w:afterAutospacing="0"/>
        <w:jc w:val="both"/>
        <w:rPr>
          <w:rFonts w:ascii="Arial" w:hAnsi="Arial" w:cs="Arial"/>
          <w:color w:val="000000"/>
          <w:sz w:val="22"/>
          <w:szCs w:val="22"/>
          <w:shd w:val="clear" w:color="auto" w:fill="FFFFFF"/>
        </w:rPr>
      </w:pPr>
    </w:p>
    <w:p w14:paraId="5E6AE2F0" w14:textId="4D5CA5FE" w:rsidR="00C64359" w:rsidRPr="00284A49" w:rsidRDefault="00C64359" w:rsidP="00C64154">
      <w:pPr>
        <w:pStyle w:val="NormalWeb"/>
        <w:spacing w:before="0" w:beforeAutospacing="0" w:after="0" w:afterAutospacing="0"/>
        <w:jc w:val="both"/>
        <w:rPr>
          <w:rFonts w:ascii="Arial" w:hAnsi="Arial" w:cs="Arial"/>
          <w:b/>
          <w:bCs/>
        </w:rPr>
      </w:pPr>
      <w:r w:rsidRPr="00284A49">
        <w:rPr>
          <w:rFonts w:ascii="Arial" w:hAnsi="Arial" w:cs="Arial"/>
          <w:b/>
          <w:bCs/>
          <w:color w:val="000000"/>
          <w:sz w:val="22"/>
          <w:szCs w:val="22"/>
          <w:shd w:val="clear" w:color="auto" w:fill="FFFFFF"/>
        </w:rPr>
        <w:t>Pal</w:t>
      </w:r>
      <w:r w:rsidR="00B41F83" w:rsidRPr="00284A49">
        <w:rPr>
          <w:rFonts w:ascii="Arial" w:hAnsi="Arial" w:cs="Arial"/>
          <w:b/>
          <w:bCs/>
          <w:color w:val="000000"/>
          <w:sz w:val="22"/>
          <w:szCs w:val="22"/>
          <w:shd w:val="clear" w:color="auto" w:fill="FFFFFF"/>
        </w:rPr>
        <w:t>a</w:t>
      </w:r>
      <w:r w:rsidRPr="00284A49">
        <w:rPr>
          <w:rFonts w:ascii="Arial" w:hAnsi="Arial" w:cs="Arial"/>
          <w:b/>
          <w:bCs/>
          <w:color w:val="000000"/>
          <w:sz w:val="22"/>
          <w:szCs w:val="22"/>
          <w:shd w:val="clear" w:color="auto" w:fill="FFFFFF"/>
        </w:rPr>
        <w:t>vras</w:t>
      </w:r>
      <w:r w:rsidR="00B41F83" w:rsidRPr="00284A49">
        <w:rPr>
          <w:rFonts w:ascii="Arial" w:hAnsi="Arial" w:cs="Arial"/>
          <w:b/>
          <w:bCs/>
          <w:color w:val="000000"/>
          <w:sz w:val="22"/>
          <w:szCs w:val="22"/>
          <w:shd w:val="clear" w:color="auto" w:fill="FFFFFF"/>
        </w:rPr>
        <w:t>-chaves</w:t>
      </w:r>
      <w:r w:rsidR="00AE4102">
        <w:rPr>
          <w:rFonts w:ascii="Arial" w:hAnsi="Arial" w:cs="Arial"/>
          <w:b/>
          <w:bCs/>
          <w:color w:val="000000"/>
          <w:sz w:val="22"/>
          <w:szCs w:val="22"/>
          <w:shd w:val="clear" w:color="auto" w:fill="FFFFFF"/>
        </w:rPr>
        <w:t>:</w:t>
      </w:r>
      <w:r w:rsidR="00DA2DD9" w:rsidRPr="00DA2DD9">
        <w:t xml:space="preserve"> </w:t>
      </w:r>
      <w:r w:rsidR="00DA2DD9" w:rsidRPr="00DA2DD9">
        <w:rPr>
          <w:rFonts w:ascii="Arial" w:hAnsi="Arial" w:cs="Arial"/>
          <w:color w:val="000000"/>
          <w:sz w:val="22"/>
          <w:szCs w:val="22"/>
          <w:shd w:val="clear" w:color="auto" w:fill="FFFFFF"/>
        </w:rPr>
        <w:t>Geografia</w:t>
      </w:r>
      <w:r w:rsidR="00DA2DD9">
        <w:rPr>
          <w:rFonts w:ascii="Arial" w:hAnsi="Arial" w:cs="Arial"/>
          <w:color w:val="000000"/>
          <w:sz w:val="22"/>
          <w:szCs w:val="22"/>
          <w:shd w:val="clear" w:color="auto" w:fill="FFFFFF"/>
        </w:rPr>
        <w:t xml:space="preserve">, </w:t>
      </w:r>
      <w:r w:rsidR="00DA2DD9" w:rsidRPr="00DA2DD9">
        <w:rPr>
          <w:rFonts w:ascii="Arial" w:hAnsi="Arial" w:cs="Arial"/>
          <w:color w:val="000000"/>
          <w:sz w:val="22"/>
          <w:szCs w:val="22"/>
          <w:shd w:val="clear" w:color="auto" w:fill="FFFFFF"/>
        </w:rPr>
        <w:t>Covid-19</w:t>
      </w:r>
      <w:r w:rsidR="00DA2DD9">
        <w:rPr>
          <w:rFonts w:ascii="Arial" w:hAnsi="Arial" w:cs="Arial"/>
          <w:color w:val="000000"/>
          <w:sz w:val="22"/>
          <w:szCs w:val="22"/>
          <w:shd w:val="clear" w:color="auto" w:fill="FFFFFF"/>
        </w:rPr>
        <w:t xml:space="preserve">, </w:t>
      </w:r>
      <w:r w:rsidR="00DA2DD9" w:rsidRPr="00DA2DD9">
        <w:rPr>
          <w:rFonts w:ascii="Arial" w:hAnsi="Arial" w:cs="Arial"/>
          <w:color w:val="000000"/>
          <w:sz w:val="22"/>
          <w:szCs w:val="22"/>
          <w:shd w:val="clear" w:color="auto" w:fill="FFFFFF"/>
        </w:rPr>
        <w:t>Espaço Urbano</w:t>
      </w:r>
      <w:r w:rsidR="00DA2DD9">
        <w:rPr>
          <w:rFonts w:ascii="Arial" w:hAnsi="Arial" w:cs="Arial"/>
          <w:color w:val="000000"/>
          <w:sz w:val="22"/>
          <w:szCs w:val="22"/>
          <w:shd w:val="clear" w:color="auto" w:fill="FFFFFF"/>
        </w:rPr>
        <w:t xml:space="preserve">, </w:t>
      </w:r>
      <w:r w:rsidR="00DA2DD9" w:rsidRPr="00DA2DD9">
        <w:rPr>
          <w:rFonts w:ascii="Arial" w:hAnsi="Arial" w:cs="Arial"/>
          <w:color w:val="000000"/>
          <w:sz w:val="22"/>
          <w:szCs w:val="22"/>
          <w:shd w:val="clear" w:color="auto" w:fill="FFFFFF"/>
        </w:rPr>
        <w:t>Maringá</w:t>
      </w:r>
      <w:r w:rsidR="00DA2DD9">
        <w:rPr>
          <w:rFonts w:ascii="Arial" w:hAnsi="Arial" w:cs="Arial"/>
          <w:color w:val="000000"/>
          <w:sz w:val="22"/>
          <w:szCs w:val="22"/>
          <w:shd w:val="clear" w:color="auto" w:fill="FFFFFF"/>
        </w:rPr>
        <w:t>.</w:t>
      </w:r>
    </w:p>
    <w:p w14:paraId="7F2DCC12" w14:textId="0C24E712" w:rsidR="00B41F83" w:rsidRPr="002D45E5" w:rsidRDefault="00B41F83" w:rsidP="009E46B0">
      <w:pPr>
        <w:pStyle w:val="NormalWeb"/>
        <w:spacing w:before="120" w:beforeAutospacing="0" w:after="120" w:afterAutospacing="0"/>
        <w:rPr>
          <w:rFonts w:ascii="Arial" w:hAnsi="Arial" w:cs="Arial"/>
          <w:b/>
          <w:bCs/>
          <w:color w:val="000000"/>
          <w:sz w:val="22"/>
          <w:szCs w:val="22"/>
          <w:lang w:val="en-GB"/>
        </w:rPr>
      </w:pPr>
      <w:r w:rsidRPr="002D45E5">
        <w:rPr>
          <w:rFonts w:ascii="Arial" w:hAnsi="Arial" w:cs="Arial"/>
          <w:b/>
          <w:bCs/>
          <w:color w:val="000000"/>
          <w:sz w:val="22"/>
          <w:szCs w:val="22"/>
          <w:lang w:val="en-GB"/>
        </w:rPr>
        <w:t>Abstract</w:t>
      </w:r>
    </w:p>
    <w:p w14:paraId="7EC15655" w14:textId="20A1EEFA" w:rsidR="00F444A6" w:rsidRPr="009E46B0" w:rsidRDefault="00F77C61" w:rsidP="00F77C61">
      <w:pPr>
        <w:pStyle w:val="NormalWeb"/>
        <w:spacing w:before="240" w:beforeAutospacing="0" w:after="240" w:afterAutospacing="0"/>
        <w:jc w:val="both"/>
        <w:rPr>
          <w:rFonts w:ascii="Arial" w:hAnsi="Arial" w:cs="Arial"/>
          <w:b/>
          <w:bCs/>
          <w:color w:val="000000"/>
          <w:sz w:val="20"/>
          <w:szCs w:val="20"/>
          <w:lang w:val="en-GB"/>
        </w:rPr>
      </w:pPr>
      <w:r w:rsidRPr="009E46B0">
        <w:rPr>
          <w:rFonts w:ascii="Arial" w:hAnsi="Arial" w:cs="Arial"/>
          <w:color w:val="000000"/>
          <w:sz w:val="20"/>
          <w:szCs w:val="20"/>
          <w:shd w:val="clear" w:color="auto" w:fill="FFFFFF"/>
          <w:lang w:val="en-GB"/>
        </w:rPr>
        <w:t xml:space="preserve">The health problem caused by the SARS-CoV-2 virus in the year of 2020 was unprecedented in history. The high transmissibility of the virus and its dispersion from the technical circulation networks have led it to reach most countries. From its entry into Brazil, at the main nodes of the urban network, it spread throughout countryside. The occurrence of covid-19 in cities, and studies of the disease on this scale, showed the socio-spatial difference with which areas and groups were affected. Based on the concept of </w:t>
      </w:r>
      <w:proofErr w:type="spellStart"/>
      <w:r w:rsidR="007301B3" w:rsidRPr="009E46B0">
        <w:rPr>
          <w:rFonts w:ascii="Arial" w:hAnsi="Arial" w:cs="Arial"/>
          <w:color w:val="000000"/>
          <w:sz w:val="20"/>
          <w:szCs w:val="20"/>
          <w:shd w:val="clear" w:color="auto" w:fill="FFFFFF"/>
          <w:lang w:val="en-GB"/>
        </w:rPr>
        <w:t>syndemic</w:t>
      </w:r>
      <w:proofErr w:type="spellEnd"/>
      <w:r w:rsidRPr="009E46B0">
        <w:rPr>
          <w:rFonts w:ascii="Arial" w:hAnsi="Arial" w:cs="Arial"/>
          <w:color w:val="000000"/>
          <w:sz w:val="20"/>
          <w:szCs w:val="20"/>
          <w:shd w:val="clear" w:color="auto" w:fill="FFFFFF"/>
          <w:lang w:val="en-GB"/>
        </w:rPr>
        <w:t xml:space="preserve">, it is considered that the problem caused by covid-19, especially in urban areas, is determined by biological and social factors and, thus, affect different segments of the population differently. From this context, this work seeks to </w:t>
      </w:r>
      <w:proofErr w:type="spellStart"/>
      <w:r w:rsidRPr="009E46B0">
        <w:rPr>
          <w:rFonts w:ascii="Arial" w:hAnsi="Arial" w:cs="Arial"/>
          <w:color w:val="000000"/>
          <w:sz w:val="20"/>
          <w:szCs w:val="20"/>
          <w:shd w:val="clear" w:color="auto" w:fill="FFFFFF"/>
          <w:lang w:val="en-GB"/>
        </w:rPr>
        <w:t>analyze</w:t>
      </w:r>
      <w:proofErr w:type="spellEnd"/>
      <w:r w:rsidRPr="009E46B0">
        <w:rPr>
          <w:rFonts w:ascii="Arial" w:hAnsi="Arial" w:cs="Arial"/>
          <w:color w:val="000000"/>
          <w:sz w:val="20"/>
          <w:szCs w:val="20"/>
          <w:shd w:val="clear" w:color="auto" w:fill="FFFFFF"/>
          <w:lang w:val="en-GB"/>
        </w:rPr>
        <w:t xml:space="preserve"> the dynamics of covid-19 over the period of one year in the city of </w:t>
      </w:r>
      <w:proofErr w:type="spellStart"/>
      <w:r w:rsidRPr="009E46B0">
        <w:rPr>
          <w:rFonts w:ascii="Arial" w:hAnsi="Arial" w:cs="Arial"/>
          <w:color w:val="000000"/>
          <w:sz w:val="20"/>
          <w:szCs w:val="20"/>
          <w:shd w:val="clear" w:color="auto" w:fill="FFFFFF"/>
          <w:lang w:val="en-GB"/>
        </w:rPr>
        <w:t>Maringá</w:t>
      </w:r>
      <w:proofErr w:type="spellEnd"/>
      <w:r w:rsidRPr="009E46B0">
        <w:rPr>
          <w:rFonts w:ascii="Arial" w:hAnsi="Arial" w:cs="Arial"/>
          <w:color w:val="000000"/>
          <w:sz w:val="20"/>
          <w:szCs w:val="20"/>
          <w:shd w:val="clear" w:color="auto" w:fill="FFFFFF"/>
          <w:lang w:val="en-GB"/>
        </w:rPr>
        <w:t xml:space="preserve">-PR, as well as the characteristics that the </w:t>
      </w:r>
      <w:proofErr w:type="spellStart"/>
      <w:r w:rsidR="0078042D" w:rsidRPr="009E46B0">
        <w:rPr>
          <w:rFonts w:ascii="Arial" w:hAnsi="Arial" w:cs="Arial"/>
          <w:color w:val="000000"/>
          <w:sz w:val="20"/>
          <w:szCs w:val="20"/>
          <w:shd w:val="clear" w:color="auto" w:fill="FFFFFF"/>
          <w:lang w:val="en-GB"/>
        </w:rPr>
        <w:t>syndemic</w:t>
      </w:r>
      <w:proofErr w:type="spellEnd"/>
      <w:r w:rsidRPr="009E46B0">
        <w:rPr>
          <w:rFonts w:ascii="Arial" w:hAnsi="Arial" w:cs="Arial"/>
          <w:color w:val="000000"/>
          <w:sz w:val="20"/>
          <w:szCs w:val="20"/>
          <w:shd w:val="clear" w:color="auto" w:fill="FFFFFF"/>
          <w:lang w:val="en-GB"/>
        </w:rPr>
        <w:t xml:space="preserve"> acquired in it. Also aiming to verify if the distribution of cases of covid-19 in the city is explained by the social condition of </w:t>
      </w:r>
      <w:r w:rsidR="004202E0" w:rsidRPr="009E46B0">
        <w:rPr>
          <w:rFonts w:ascii="Arial" w:hAnsi="Arial" w:cs="Arial"/>
          <w:color w:val="000000"/>
          <w:sz w:val="20"/>
          <w:szCs w:val="20"/>
          <w:shd w:val="clear" w:color="auto" w:fill="FFFFFF"/>
          <w:lang w:val="en-GB"/>
        </w:rPr>
        <w:t xml:space="preserve">the </w:t>
      </w:r>
      <w:r w:rsidRPr="009E46B0">
        <w:rPr>
          <w:rFonts w:ascii="Arial" w:hAnsi="Arial" w:cs="Arial"/>
          <w:color w:val="000000"/>
          <w:sz w:val="20"/>
          <w:szCs w:val="20"/>
          <w:shd w:val="clear" w:color="auto" w:fill="FFFFFF"/>
          <w:lang w:val="en-GB"/>
        </w:rPr>
        <w:t>individuals.</w:t>
      </w:r>
    </w:p>
    <w:p w14:paraId="27A3CE24" w14:textId="7B928C1A" w:rsidR="00B41F83" w:rsidRPr="002D45E5" w:rsidRDefault="00B41F83" w:rsidP="002E78A7">
      <w:pPr>
        <w:pStyle w:val="NormalWeb"/>
        <w:spacing w:before="240" w:beforeAutospacing="0" w:after="240" w:afterAutospacing="0"/>
        <w:rPr>
          <w:rFonts w:ascii="Arial" w:hAnsi="Arial" w:cs="Arial"/>
          <w:b/>
          <w:bCs/>
          <w:color w:val="000000"/>
          <w:sz w:val="22"/>
          <w:szCs w:val="22"/>
          <w:lang w:val="en-GB"/>
        </w:rPr>
      </w:pPr>
      <w:proofErr w:type="gramStart"/>
      <w:r w:rsidRPr="002D45E5">
        <w:rPr>
          <w:rFonts w:ascii="Arial" w:hAnsi="Arial" w:cs="Arial"/>
          <w:b/>
          <w:bCs/>
          <w:color w:val="000000"/>
          <w:sz w:val="22"/>
          <w:szCs w:val="22"/>
          <w:lang w:val="en-GB"/>
        </w:rPr>
        <w:t>Key-words</w:t>
      </w:r>
      <w:proofErr w:type="gramEnd"/>
      <w:r w:rsidR="00293A4B" w:rsidRPr="002D45E5">
        <w:rPr>
          <w:rFonts w:ascii="Arial" w:hAnsi="Arial" w:cs="Arial"/>
          <w:b/>
          <w:bCs/>
          <w:color w:val="000000"/>
          <w:sz w:val="22"/>
          <w:szCs w:val="22"/>
          <w:lang w:val="en-GB"/>
        </w:rPr>
        <w:t xml:space="preserve">: </w:t>
      </w:r>
      <w:r w:rsidR="00293A4B" w:rsidRPr="002D45E5">
        <w:rPr>
          <w:rFonts w:ascii="Arial" w:hAnsi="Arial" w:cs="Arial"/>
          <w:color w:val="000000"/>
          <w:sz w:val="22"/>
          <w:szCs w:val="22"/>
          <w:shd w:val="clear" w:color="auto" w:fill="FFFFFF"/>
          <w:lang w:val="en-GB"/>
        </w:rPr>
        <w:t xml:space="preserve">Geography, Covid-19, Urban Space, </w:t>
      </w:r>
      <w:proofErr w:type="spellStart"/>
      <w:r w:rsidR="00293A4B" w:rsidRPr="002D45E5">
        <w:rPr>
          <w:rFonts w:ascii="Arial" w:hAnsi="Arial" w:cs="Arial"/>
          <w:color w:val="000000"/>
          <w:sz w:val="22"/>
          <w:szCs w:val="22"/>
          <w:shd w:val="clear" w:color="auto" w:fill="FFFFFF"/>
          <w:lang w:val="en-GB"/>
        </w:rPr>
        <w:t>Maringá</w:t>
      </w:r>
      <w:proofErr w:type="spellEnd"/>
      <w:r w:rsidR="00293A4B" w:rsidRPr="002D45E5">
        <w:rPr>
          <w:rFonts w:ascii="Arial" w:hAnsi="Arial" w:cs="Arial"/>
          <w:color w:val="000000"/>
          <w:sz w:val="22"/>
          <w:szCs w:val="22"/>
          <w:shd w:val="clear" w:color="auto" w:fill="FFFFFF"/>
          <w:lang w:val="en-GB"/>
        </w:rPr>
        <w:t>.</w:t>
      </w:r>
    </w:p>
    <w:p w14:paraId="14D01016" w14:textId="2E2D7EA8" w:rsidR="002E78A7" w:rsidRPr="00A278B1" w:rsidRDefault="009E46B0" w:rsidP="002E78A7">
      <w:pPr>
        <w:pStyle w:val="NormalWeb"/>
        <w:spacing w:before="240" w:beforeAutospacing="0" w:after="240" w:afterAutospacing="0"/>
        <w:rPr>
          <w:rFonts w:ascii="Arial" w:hAnsi="Arial" w:cs="Arial"/>
        </w:rPr>
      </w:pPr>
      <w:r w:rsidRPr="00A278B1">
        <w:rPr>
          <w:rFonts w:ascii="Arial" w:hAnsi="Arial" w:cs="Arial"/>
          <w:b/>
          <w:bCs/>
          <w:color w:val="000000"/>
          <w:sz w:val="22"/>
          <w:szCs w:val="22"/>
        </w:rPr>
        <w:lastRenderedPageBreak/>
        <w:t>INTRODUÇÃO</w:t>
      </w:r>
    </w:p>
    <w:p w14:paraId="0D05D611" w14:textId="6A28BEAF"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No ano de 2020, o mundo se viu diante de um problema de saúde sem precedentes em sua história. A alta transmissibilidade do vírus SARS-CoV-2 (</w:t>
      </w:r>
      <w:r w:rsidR="00FC3549" w:rsidRPr="00A278B1">
        <w:rPr>
          <w:rFonts w:ascii="Arial" w:hAnsi="Arial" w:cs="Arial"/>
          <w:color w:val="000000"/>
          <w:sz w:val="22"/>
          <w:szCs w:val="22"/>
        </w:rPr>
        <w:t>Coronavírus</w:t>
      </w:r>
      <w:r w:rsidRPr="00A278B1">
        <w:rPr>
          <w:rFonts w:ascii="Arial" w:hAnsi="Arial" w:cs="Arial"/>
          <w:color w:val="000000"/>
          <w:sz w:val="22"/>
          <w:szCs w:val="22"/>
        </w:rPr>
        <w:t xml:space="preserve"> 2 da Síndrome respiratória Aguda Grave) associada a fluxos vertiginosos de pessoas e mercadorias pelo mundo fez com que rapidamente atingisse a maioria dos países. Um ano após a Organização Mundial da Saúde (OMS) decretar, em 11 de março de 2020, descontrole global de doença provocada pelo novo coronavírus</w:t>
      </w:r>
      <w:r w:rsidR="00E224ED" w:rsidRPr="00A278B1">
        <w:rPr>
          <w:rFonts w:ascii="Arial" w:hAnsi="Arial" w:cs="Arial"/>
          <w:color w:val="000000"/>
          <w:sz w:val="22"/>
          <w:szCs w:val="22"/>
        </w:rPr>
        <w:t>,</w:t>
      </w:r>
      <w:r w:rsidRPr="00A278B1">
        <w:rPr>
          <w:rFonts w:ascii="Arial" w:hAnsi="Arial" w:cs="Arial"/>
          <w:color w:val="000000"/>
          <w:sz w:val="22"/>
          <w:szCs w:val="22"/>
        </w:rPr>
        <w:t xml:space="preserve"> o número de casos se acumulou em mais de 48 milhões e o montante de mortos ultrapassou os 2,6 milhões de pessoas.</w:t>
      </w:r>
    </w:p>
    <w:p w14:paraId="33F1F4E3" w14:textId="256D5E23"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 xml:space="preserve">Diante da inexistência de medicamentos e vacinas para tratar da doença, medidas não-farmacológicas foram adotadas para reduzir a transmissibilidade do vírus que chegou a ter um </w:t>
      </w:r>
      <w:proofErr w:type="spellStart"/>
      <w:r w:rsidRPr="00A278B1">
        <w:rPr>
          <w:rFonts w:ascii="Arial" w:hAnsi="Arial" w:cs="Arial"/>
          <w:color w:val="000000"/>
          <w:sz w:val="22"/>
          <w:szCs w:val="22"/>
        </w:rPr>
        <w:t>Rt</w:t>
      </w:r>
      <w:proofErr w:type="spellEnd"/>
      <w:r w:rsidR="005B16AE" w:rsidRPr="00A278B1">
        <w:rPr>
          <w:rFonts w:ascii="Arial" w:hAnsi="Arial" w:cs="Arial"/>
          <w:color w:val="000000"/>
          <w:sz w:val="22"/>
          <w:szCs w:val="22"/>
        </w:rPr>
        <w:t xml:space="preserve"> </w:t>
      </w:r>
      <w:r w:rsidRPr="00A278B1">
        <w:rPr>
          <w:rFonts w:ascii="Arial" w:hAnsi="Arial" w:cs="Arial"/>
          <w:color w:val="000000"/>
          <w:sz w:val="22"/>
          <w:szCs w:val="22"/>
        </w:rPr>
        <w:t>=</w:t>
      </w:r>
      <w:r w:rsidR="005B16AE" w:rsidRPr="00A278B1">
        <w:rPr>
          <w:rFonts w:ascii="Arial" w:hAnsi="Arial" w:cs="Arial"/>
          <w:color w:val="000000"/>
          <w:sz w:val="22"/>
          <w:szCs w:val="22"/>
        </w:rPr>
        <w:t xml:space="preserve"> </w:t>
      </w:r>
      <w:r w:rsidRPr="00A278B1">
        <w:rPr>
          <w:rFonts w:ascii="Arial" w:hAnsi="Arial" w:cs="Arial"/>
          <w:color w:val="000000"/>
          <w:sz w:val="22"/>
          <w:szCs w:val="22"/>
        </w:rPr>
        <w:t xml:space="preserve">6 (BRASIL, 2020). Nesse contexto, cientistas de diversas áreas do conhecimento foram demandados </w:t>
      </w:r>
      <w:r w:rsidR="00E224ED" w:rsidRPr="00A278B1">
        <w:rPr>
          <w:rFonts w:ascii="Arial" w:hAnsi="Arial" w:cs="Arial"/>
          <w:color w:val="000000"/>
          <w:sz w:val="22"/>
          <w:szCs w:val="22"/>
        </w:rPr>
        <w:t>a</w:t>
      </w:r>
      <w:r w:rsidRPr="00A278B1">
        <w:rPr>
          <w:rFonts w:ascii="Arial" w:hAnsi="Arial" w:cs="Arial"/>
          <w:color w:val="000000"/>
          <w:sz w:val="22"/>
          <w:szCs w:val="22"/>
        </w:rPr>
        <w:t xml:space="preserve"> fazer o retrato social e territorial da doença. Desde o início, a </w:t>
      </w:r>
      <w:r w:rsidR="00E224ED" w:rsidRPr="00A278B1">
        <w:rPr>
          <w:rFonts w:ascii="Arial" w:hAnsi="Arial" w:cs="Arial"/>
          <w:color w:val="000000"/>
          <w:sz w:val="22"/>
          <w:szCs w:val="22"/>
        </w:rPr>
        <w:t>G</w:t>
      </w:r>
      <w:r w:rsidRPr="00A278B1">
        <w:rPr>
          <w:rFonts w:ascii="Arial" w:hAnsi="Arial" w:cs="Arial"/>
          <w:color w:val="000000"/>
          <w:sz w:val="22"/>
          <w:szCs w:val="22"/>
        </w:rPr>
        <w:t>eografia foi chamada a fazer sua contribuição identificando fatores de risco em escala nacional, regional e intraurbana. O conhecimento geográfico produzido foi usado por inúmeros gestores públicos para formular e implementar, num curto espaço de tempo, políticas públicas para conter a disseminação do vírus.</w:t>
      </w:r>
    </w:p>
    <w:p w14:paraId="644C7078" w14:textId="4F0B0EA0"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 xml:space="preserve">Em escala nacional e internacional, o principal fator explicativo para a dispersão do vírus foi a disposição das redes técnicas de circulação de pessoas e mercadorias. O vírus chegou primeiro aos centros urbanos mais importantes da hierarquia urbana. Aeroportos foram a porta de entrada na maioria dos países. </w:t>
      </w:r>
      <w:r w:rsidR="00E224ED" w:rsidRPr="00A278B1">
        <w:rPr>
          <w:rFonts w:ascii="Arial" w:hAnsi="Arial" w:cs="Arial"/>
          <w:color w:val="000000"/>
          <w:sz w:val="22"/>
          <w:szCs w:val="22"/>
        </w:rPr>
        <w:t>A partir d</w:t>
      </w:r>
      <w:r w:rsidRPr="00A278B1">
        <w:rPr>
          <w:rFonts w:ascii="Arial" w:hAnsi="Arial" w:cs="Arial"/>
          <w:color w:val="000000"/>
          <w:sz w:val="22"/>
          <w:szCs w:val="22"/>
        </w:rPr>
        <w:t>os principais nós da rede urbana, o vírus foi se espalhando rapidamente pelo interior do país.</w:t>
      </w:r>
    </w:p>
    <w:p w14:paraId="63839AC9" w14:textId="475EF5B3"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Na escala local, mais precisamente na escala das cidades, vários estudos identificaram que o vírus atingiu primeiro as áreas centrais e mais ricas para, posteriormente se dirigirem às áreas mais periféricas. Com o passar do tempo também se detectou que a morte por Covid-19 atingiu de modo mais intenso as áreas pobres, com maior precariedade habitacional e de infraestrutura sanitária.</w:t>
      </w:r>
    </w:p>
    <w:p w14:paraId="4AD60023" w14:textId="77777777"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Considerando os grandes impactos desiguais da Covid-19 sobre a vida da população e os padrões sociais e espaciais de risco no espaço intraurbano, este trabalho objetiva analisar a dinâmica da doença ao longo de um ano de pandemia em Maringá, cidade média do interior do estado do Paraná.</w:t>
      </w:r>
    </w:p>
    <w:p w14:paraId="0ED026DE" w14:textId="750B0AEA" w:rsidR="002E78A7" w:rsidRDefault="002E78A7" w:rsidP="00EC2E0F">
      <w:pPr>
        <w:pStyle w:val="NormalWeb"/>
        <w:spacing w:before="240" w:beforeAutospacing="0" w:after="240" w:afterAutospacing="0" w:line="276" w:lineRule="auto"/>
        <w:jc w:val="both"/>
        <w:rPr>
          <w:rFonts w:ascii="Arial" w:hAnsi="Arial" w:cs="Arial"/>
          <w:color w:val="000000"/>
          <w:sz w:val="22"/>
          <w:szCs w:val="22"/>
        </w:rPr>
      </w:pPr>
    </w:p>
    <w:p w14:paraId="626FD88E" w14:textId="77777777" w:rsidR="002E78A7" w:rsidRPr="00A278B1" w:rsidRDefault="002E78A7" w:rsidP="00EC2E0F">
      <w:pPr>
        <w:pStyle w:val="NormalWeb"/>
        <w:spacing w:before="240" w:beforeAutospacing="0" w:after="240" w:afterAutospacing="0" w:line="276" w:lineRule="auto"/>
        <w:jc w:val="both"/>
        <w:rPr>
          <w:rFonts w:ascii="Arial" w:hAnsi="Arial" w:cs="Arial"/>
        </w:rPr>
      </w:pPr>
      <w:proofErr w:type="spellStart"/>
      <w:r w:rsidRPr="00A278B1">
        <w:rPr>
          <w:rFonts w:ascii="Arial" w:hAnsi="Arial" w:cs="Arial"/>
          <w:b/>
          <w:bCs/>
          <w:color w:val="000000"/>
          <w:sz w:val="22"/>
          <w:szCs w:val="22"/>
        </w:rPr>
        <w:t>Multideterminação</w:t>
      </w:r>
      <w:proofErr w:type="spellEnd"/>
      <w:r w:rsidRPr="00A278B1">
        <w:rPr>
          <w:rFonts w:ascii="Arial" w:hAnsi="Arial" w:cs="Arial"/>
          <w:b/>
          <w:bCs/>
          <w:color w:val="000000"/>
          <w:sz w:val="22"/>
          <w:szCs w:val="22"/>
        </w:rPr>
        <w:t xml:space="preserve"> da saúde</w:t>
      </w:r>
    </w:p>
    <w:p w14:paraId="77D3AB7B" w14:textId="2A9CAA75" w:rsidR="002E78A7" w:rsidRPr="00A278B1" w:rsidRDefault="002E78A7" w:rsidP="00EC2E0F">
      <w:pPr>
        <w:pStyle w:val="NormalWeb"/>
        <w:spacing w:before="240" w:beforeAutospacing="0" w:after="240" w:afterAutospacing="0" w:line="276" w:lineRule="auto"/>
        <w:jc w:val="both"/>
        <w:rPr>
          <w:rFonts w:ascii="Arial" w:hAnsi="Arial" w:cs="Arial"/>
        </w:rPr>
      </w:pPr>
      <w:r w:rsidRPr="00A278B1">
        <w:rPr>
          <w:rFonts w:ascii="Arial" w:hAnsi="Arial" w:cs="Arial"/>
          <w:color w:val="000000"/>
          <w:sz w:val="22"/>
          <w:szCs w:val="22"/>
        </w:rPr>
        <w:t xml:space="preserve">            Em editorial da revista The Lancet, Norton (2020) defende que a problemática de saúde global envolvendo a Covid-19 não é uma pandemia, mas sim uma </w:t>
      </w:r>
      <w:proofErr w:type="spellStart"/>
      <w:r w:rsidRPr="00A278B1">
        <w:rPr>
          <w:rFonts w:ascii="Arial" w:hAnsi="Arial" w:cs="Arial"/>
          <w:color w:val="000000"/>
          <w:sz w:val="22"/>
          <w:szCs w:val="22"/>
        </w:rPr>
        <w:t>sindemia</w:t>
      </w:r>
      <w:proofErr w:type="spellEnd"/>
      <w:r w:rsidRPr="00A278B1">
        <w:rPr>
          <w:rFonts w:ascii="Arial" w:hAnsi="Arial" w:cs="Arial"/>
          <w:color w:val="000000"/>
          <w:sz w:val="22"/>
          <w:szCs w:val="22"/>
        </w:rPr>
        <w:t xml:space="preserve">, pois não se trata apenas de uma doença que atingiu o mundo todo, mas que, além </w:t>
      </w:r>
      <w:r w:rsidRPr="00A278B1">
        <w:rPr>
          <w:rFonts w:ascii="Arial" w:hAnsi="Arial" w:cs="Arial"/>
          <w:color w:val="000000"/>
          <w:sz w:val="22"/>
          <w:szCs w:val="22"/>
        </w:rPr>
        <w:lastRenderedPageBreak/>
        <w:t xml:space="preserve">disso, é constituída e determinada por inúmeros fatores de ordem biológica (como a interação entre morbidades) e social (iniquidades em saúde) que afetam de modo diferente </w:t>
      </w:r>
      <w:r w:rsidR="00393312" w:rsidRPr="00A278B1">
        <w:rPr>
          <w:rFonts w:ascii="Arial" w:hAnsi="Arial" w:cs="Arial"/>
          <w:color w:val="000000"/>
          <w:sz w:val="22"/>
          <w:szCs w:val="22"/>
        </w:rPr>
        <w:t>os diversos</w:t>
      </w:r>
      <w:r w:rsidRPr="00A278B1">
        <w:rPr>
          <w:rFonts w:ascii="Arial" w:hAnsi="Arial" w:cs="Arial"/>
          <w:color w:val="000000"/>
          <w:sz w:val="22"/>
          <w:szCs w:val="22"/>
        </w:rPr>
        <w:t xml:space="preserve"> segmentos da população. Além disso, a dispersão da doença tem forte interação com a base material do território, em especial os meios de circulação. Tal perspectiva aponta para a complexidade da compreensão do processo saúde-doença, especialmente em tempos de globalização, cuja meio é denominado por Milton Santos (1996) de técnico-científico-informacional.</w:t>
      </w:r>
    </w:p>
    <w:p w14:paraId="0E667D1B" w14:textId="6A364C87" w:rsidR="002E78A7" w:rsidRPr="00A278B1" w:rsidRDefault="002E78A7" w:rsidP="00EC2E0F">
      <w:pPr>
        <w:pStyle w:val="NormalWeb"/>
        <w:spacing w:before="240" w:beforeAutospacing="0" w:after="240" w:afterAutospacing="0" w:line="276" w:lineRule="auto"/>
        <w:jc w:val="both"/>
        <w:rPr>
          <w:rFonts w:ascii="Arial" w:hAnsi="Arial" w:cs="Arial"/>
        </w:rPr>
      </w:pPr>
      <w:r w:rsidRPr="00A278B1">
        <w:rPr>
          <w:rFonts w:ascii="Arial" w:hAnsi="Arial" w:cs="Arial"/>
          <w:color w:val="000000"/>
          <w:sz w:val="22"/>
          <w:szCs w:val="22"/>
        </w:rPr>
        <w:t xml:space="preserve">            Essa abordagem, entretanto, não é uma grande novidade para a </w:t>
      </w:r>
      <w:r w:rsidR="00393312" w:rsidRPr="00A278B1">
        <w:rPr>
          <w:rFonts w:ascii="Arial" w:hAnsi="Arial" w:cs="Arial"/>
          <w:color w:val="000000"/>
          <w:sz w:val="22"/>
          <w:szCs w:val="22"/>
        </w:rPr>
        <w:t>G</w:t>
      </w:r>
      <w:r w:rsidRPr="00A278B1">
        <w:rPr>
          <w:rFonts w:ascii="Arial" w:hAnsi="Arial" w:cs="Arial"/>
          <w:color w:val="000000"/>
          <w:sz w:val="22"/>
          <w:szCs w:val="22"/>
        </w:rPr>
        <w:t xml:space="preserve">eografia brasileira. A teoria do espaço geográfico, epistemologicamente embasado pelo princípio da totalidade, ao subsidiar análises dos processos saúde-doença pensa em termos contextuais e, portanto, reconhece a </w:t>
      </w:r>
      <w:proofErr w:type="spellStart"/>
      <w:r w:rsidRPr="00A278B1">
        <w:rPr>
          <w:rFonts w:ascii="Arial" w:hAnsi="Arial" w:cs="Arial"/>
          <w:color w:val="000000"/>
          <w:sz w:val="22"/>
          <w:szCs w:val="22"/>
        </w:rPr>
        <w:t>multideterminação</w:t>
      </w:r>
      <w:proofErr w:type="spellEnd"/>
      <w:r w:rsidRPr="00A278B1">
        <w:rPr>
          <w:rFonts w:ascii="Arial" w:hAnsi="Arial" w:cs="Arial"/>
          <w:color w:val="000000"/>
          <w:sz w:val="22"/>
          <w:szCs w:val="22"/>
        </w:rPr>
        <w:t>. No campo da Epidemiologia, modelos teóricos dos determinantes sociais em saúde também reconhecem a complexidade dos fatores envolvidos nos problemas de saúde. Carvalho e Buss (2012, p. 128), por exemplo, ao tratar dos determinantes sociais em saúde apresenta o “modelo do campo da saúde” que entende que as condições de saúde dependem de quatro conjunto de fatores: 1) patrimônio biológico; 2) contexto social, econômico e ambiental; 3) estilo de vida; 4) serviços de saúde.</w:t>
      </w:r>
    </w:p>
    <w:p w14:paraId="0CDA2C2F" w14:textId="4022D752" w:rsidR="002E78A7" w:rsidRPr="00A278B1" w:rsidRDefault="002E78A7" w:rsidP="00EC2E0F">
      <w:pPr>
        <w:pStyle w:val="NormalWeb"/>
        <w:spacing w:before="240" w:beforeAutospacing="0" w:after="240" w:afterAutospacing="0" w:line="276" w:lineRule="auto"/>
        <w:jc w:val="both"/>
        <w:rPr>
          <w:rFonts w:ascii="Arial" w:hAnsi="Arial" w:cs="Arial"/>
        </w:rPr>
      </w:pPr>
      <w:r w:rsidRPr="00A278B1">
        <w:rPr>
          <w:rFonts w:ascii="Arial" w:hAnsi="Arial" w:cs="Arial"/>
          <w:color w:val="000000"/>
          <w:sz w:val="22"/>
          <w:szCs w:val="22"/>
        </w:rPr>
        <w:t xml:space="preserve">            Em função do claro entendimento de que não se trata apenas da dispersão de uma doença pelo mundo é que nos referiremos à Covid-19 nesse trabalho como uma </w:t>
      </w:r>
      <w:proofErr w:type="spellStart"/>
      <w:r w:rsidRPr="00A278B1">
        <w:rPr>
          <w:rFonts w:ascii="Arial" w:hAnsi="Arial" w:cs="Arial"/>
          <w:color w:val="000000"/>
          <w:sz w:val="22"/>
          <w:szCs w:val="22"/>
        </w:rPr>
        <w:t>sindemia</w:t>
      </w:r>
      <w:proofErr w:type="spellEnd"/>
      <w:r w:rsidRPr="00A278B1">
        <w:rPr>
          <w:rFonts w:ascii="Arial" w:hAnsi="Arial" w:cs="Arial"/>
          <w:color w:val="000000"/>
          <w:sz w:val="22"/>
          <w:szCs w:val="22"/>
        </w:rPr>
        <w:t xml:space="preserve"> e não como uma pandemia.</w:t>
      </w:r>
    </w:p>
    <w:p w14:paraId="28DDC378" w14:textId="261B9ABC" w:rsidR="002E78A7" w:rsidRPr="00A278B1" w:rsidRDefault="002E78A7" w:rsidP="00EC2E0F">
      <w:pPr>
        <w:pStyle w:val="NormalWeb"/>
        <w:spacing w:before="240" w:beforeAutospacing="0" w:after="240" w:afterAutospacing="0" w:line="276" w:lineRule="auto"/>
        <w:jc w:val="both"/>
        <w:rPr>
          <w:rFonts w:ascii="Arial" w:hAnsi="Arial" w:cs="Arial"/>
        </w:rPr>
      </w:pPr>
      <w:r w:rsidRPr="00A278B1">
        <w:rPr>
          <w:rFonts w:ascii="Arial" w:hAnsi="Arial" w:cs="Arial"/>
          <w:color w:val="000000"/>
          <w:sz w:val="22"/>
          <w:szCs w:val="22"/>
        </w:rPr>
        <w:t xml:space="preserve">            Desde quando foi confirmado o primeiro caso de Covid-19 no território brasileiro, em 26 de fevereiro de 2020, evidenciou-se o peso que a pobreza e as desigualdades sociais e territoriais exercem nas condições de saúde dos brasileiros. Constatou-se desde cedo que nos espaços urbanos mais precários, devido à falta de infraestrutura de saneamento básico, à precariedade das formas de trabalho, às condições habitacionais etc. a incidência de casos e as taxas de mortalidade eram significativamente maiores que nas áreas mais </w:t>
      </w:r>
      <w:r w:rsidR="00393312" w:rsidRPr="00A278B1">
        <w:rPr>
          <w:rFonts w:ascii="Arial" w:hAnsi="Arial" w:cs="Arial"/>
          <w:color w:val="000000"/>
          <w:sz w:val="22"/>
          <w:szCs w:val="22"/>
        </w:rPr>
        <w:t>pobres</w:t>
      </w:r>
      <w:r w:rsidRPr="00A278B1">
        <w:rPr>
          <w:rFonts w:ascii="Arial" w:hAnsi="Arial" w:cs="Arial"/>
          <w:color w:val="000000"/>
          <w:sz w:val="22"/>
          <w:szCs w:val="22"/>
        </w:rPr>
        <w:t xml:space="preserve"> das cidades (BOGUS et al, 2020; OLIVEIRA, 2020; RODRIGUES, 2020; THERY, 2020; COELHO, 2020).</w:t>
      </w:r>
    </w:p>
    <w:p w14:paraId="5EA09581" w14:textId="77777777" w:rsidR="002E78A7" w:rsidRPr="00A278B1" w:rsidRDefault="002E78A7" w:rsidP="002E78A7">
      <w:pPr>
        <w:pStyle w:val="NormalWeb"/>
        <w:spacing w:before="240" w:beforeAutospacing="0" w:after="240" w:afterAutospacing="0"/>
        <w:jc w:val="both"/>
        <w:rPr>
          <w:rFonts w:ascii="Arial" w:hAnsi="Arial" w:cs="Arial"/>
        </w:rPr>
      </w:pPr>
      <w:r w:rsidRPr="00A278B1">
        <w:rPr>
          <w:rFonts w:ascii="Arial" w:hAnsi="Arial" w:cs="Arial"/>
          <w:color w:val="000000"/>
          <w:sz w:val="22"/>
          <w:szCs w:val="22"/>
        </w:rPr>
        <w:t>            </w:t>
      </w:r>
      <w:r w:rsidRPr="00A278B1">
        <w:rPr>
          <w:rStyle w:val="apple-tab-span"/>
          <w:rFonts w:ascii="Arial" w:hAnsi="Arial" w:cs="Arial"/>
          <w:color w:val="000000"/>
          <w:sz w:val="22"/>
          <w:szCs w:val="22"/>
        </w:rPr>
        <w:tab/>
      </w:r>
      <w:r w:rsidRPr="00A278B1">
        <w:rPr>
          <w:rFonts w:ascii="Arial" w:hAnsi="Arial" w:cs="Arial"/>
          <w:color w:val="000000"/>
          <w:sz w:val="22"/>
          <w:szCs w:val="22"/>
        </w:rPr>
        <w:t>Nesse mesmo sentido, Carvalho e Buss argumentam que:</w:t>
      </w:r>
    </w:p>
    <w:p w14:paraId="51945792" w14:textId="77777777" w:rsidR="002E78A7" w:rsidRPr="00A278B1" w:rsidRDefault="002E78A7" w:rsidP="002E78A7">
      <w:pPr>
        <w:pStyle w:val="NormalWeb"/>
        <w:spacing w:before="240" w:beforeAutospacing="0" w:after="240" w:afterAutospacing="0"/>
        <w:ind w:left="2260"/>
        <w:jc w:val="both"/>
        <w:rPr>
          <w:rFonts w:ascii="Arial" w:hAnsi="Arial" w:cs="Arial"/>
        </w:rPr>
      </w:pPr>
      <w:r w:rsidRPr="00A278B1">
        <w:rPr>
          <w:rFonts w:ascii="Arial" w:hAnsi="Arial" w:cs="Arial"/>
          <w:color w:val="000000"/>
          <w:sz w:val="20"/>
          <w:szCs w:val="20"/>
        </w:rPr>
        <w:t>[...] o adoecimento e a vida saudável não dependem unicamente de aspectos físicos ou genéticos, mas são influenciados pelas relações sociais e econômicas que engendram formas de acesso à alimentação, à educação, ao trabalho, à renda, ao lazer e a um ambiente adequado, entre outros aspectos fundamentais para a saúde e a qualidade de vida (2009, p. 151)</w:t>
      </w:r>
    </w:p>
    <w:p w14:paraId="184C73B9" w14:textId="20E4475E" w:rsidR="002E78A7" w:rsidRPr="00A278B1" w:rsidRDefault="002E78A7" w:rsidP="009E46B0">
      <w:pPr>
        <w:pStyle w:val="NormalWeb"/>
        <w:spacing w:before="240" w:beforeAutospacing="0" w:after="240" w:afterAutospacing="0"/>
        <w:jc w:val="both"/>
        <w:rPr>
          <w:rFonts w:ascii="Arial" w:hAnsi="Arial" w:cs="Arial"/>
        </w:rPr>
      </w:pPr>
      <w:r w:rsidRPr="00A278B1">
        <w:rPr>
          <w:rFonts w:ascii="Arial" w:hAnsi="Arial" w:cs="Arial"/>
          <w:color w:val="000000"/>
          <w:sz w:val="20"/>
          <w:szCs w:val="20"/>
        </w:rPr>
        <w:t> </w:t>
      </w:r>
      <w:r w:rsidRPr="00A278B1">
        <w:rPr>
          <w:rFonts w:ascii="Arial" w:hAnsi="Arial" w:cs="Arial"/>
          <w:color w:val="000000"/>
          <w:sz w:val="22"/>
          <w:szCs w:val="22"/>
        </w:rPr>
        <w:t xml:space="preserve">            A novidade e a relevância que a Covid-19 adquiriu nos mais diferentes territórios e nas mais diferentes escalas exigirá ainda muitas pesquisas por parte dos estudiosos da saúde pública. Em alguma medida pode-se dizer que ainda estamos em fase de realização de diagnósticos de situação dado que a </w:t>
      </w:r>
      <w:proofErr w:type="spellStart"/>
      <w:r w:rsidRPr="00A278B1">
        <w:rPr>
          <w:rFonts w:ascii="Arial" w:hAnsi="Arial" w:cs="Arial"/>
          <w:color w:val="000000"/>
          <w:sz w:val="22"/>
          <w:szCs w:val="22"/>
        </w:rPr>
        <w:t>sindemia</w:t>
      </w:r>
      <w:proofErr w:type="spellEnd"/>
      <w:r w:rsidRPr="00A278B1">
        <w:rPr>
          <w:rFonts w:ascii="Arial" w:hAnsi="Arial" w:cs="Arial"/>
          <w:color w:val="000000"/>
          <w:sz w:val="22"/>
          <w:szCs w:val="22"/>
        </w:rPr>
        <w:t xml:space="preserve"> de Covid-19 ainda está em processo. Nesse sentido, o presente trabalho objetiva analisar as características que a </w:t>
      </w:r>
      <w:proofErr w:type="spellStart"/>
      <w:r w:rsidRPr="00A278B1">
        <w:rPr>
          <w:rFonts w:ascii="Arial" w:hAnsi="Arial" w:cs="Arial"/>
          <w:color w:val="000000"/>
          <w:sz w:val="22"/>
          <w:szCs w:val="22"/>
        </w:rPr>
        <w:lastRenderedPageBreak/>
        <w:t>sindemia</w:t>
      </w:r>
      <w:proofErr w:type="spellEnd"/>
      <w:r w:rsidRPr="00A278B1">
        <w:rPr>
          <w:rFonts w:ascii="Arial" w:hAnsi="Arial" w:cs="Arial"/>
          <w:color w:val="000000"/>
          <w:sz w:val="22"/>
          <w:szCs w:val="22"/>
        </w:rPr>
        <w:t xml:space="preserve"> adquiriu na cidade de Maringá face àquelas que já foram registradas em outras cidades brasileiras, especialmente capitais.</w:t>
      </w:r>
    </w:p>
    <w:p w14:paraId="48004F68" w14:textId="77777777" w:rsidR="002E78A7" w:rsidRPr="00A278B1" w:rsidRDefault="002E78A7" w:rsidP="00EC2E0F">
      <w:pPr>
        <w:pStyle w:val="NormalWeb"/>
        <w:spacing w:before="240" w:beforeAutospacing="0" w:after="240" w:afterAutospacing="0" w:line="276" w:lineRule="auto"/>
        <w:jc w:val="both"/>
        <w:rPr>
          <w:rFonts w:ascii="Arial" w:hAnsi="Arial" w:cs="Arial"/>
        </w:rPr>
      </w:pPr>
      <w:r w:rsidRPr="00A278B1">
        <w:rPr>
          <w:rFonts w:ascii="Arial" w:hAnsi="Arial" w:cs="Arial"/>
          <w:color w:val="000000"/>
          <w:sz w:val="22"/>
          <w:szCs w:val="22"/>
        </w:rPr>
        <w:t> </w:t>
      </w:r>
    </w:p>
    <w:p w14:paraId="4EF32265" w14:textId="45AC89A5" w:rsidR="002E78A7" w:rsidRPr="00A278B1" w:rsidRDefault="009E46B0" w:rsidP="00EC2E0F">
      <w:pPr>
        <w:pStyle w:val="NormalWeb"/>
        <w:spacing w:before="240" w:beforeAutospacing="0" w:after="240" w:afterAutospacing="0" w:line="276" w:lineRule="auto"/>
        <w:jc w:val="both"/>
        <w:rPr>
          <w:rFonts w:ascii="Arial" w:hAnsi="Arial" w:cs="Arial"/>
        </w:rPr>
      </w:pPr>
      <w:r w:rsidRPr="00A278B1">
        <w:rPr>
          <w:rFonts w:ascii="Arial" w:hAnsi="Arial" w:cs="Arial"/>
          <w:b/>
          <w:bCs/>
          <w:color w:val="000000"/>
          <w:sz w:val="22"/>
          <w:szCs w:val="22"/>
        </w:rPr>
        <w:t>ESPAÇO GEOGRÁFICO E SAÚDE</w:t>
      </w:r>
    </w:p>
    <w:p w14:paraId="607B5FD2" w14:textId="77777777"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O espaço geográfico foi extensamente trabalhado por Milton Santos e sua abordagem permite a compreensão do processo sindêmico da covid-19, dado que as características do espaço e a organização social do modo de produção se relacionam à difusão do vírus.</w:t>
      </w:r>
    </w:p>
    <w:p w14:paraId="7817E10A" w14:textId="3BCA35FB"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 xml:space="preserve">O vírus causador da covid-19 se difundiu por meio da estrutura territorial previamente estabelecida e </w:t>
      </w:r>
      <w:r w:rsidR="001B3823" w:rsidRPr="00A278B1">
        <w:rPr>
          <w:rFonts w:ascii="Arial" w:hAnsi="Arial" w:cs="Arial"/>
          <w:color w:val="000000"/>
          <w:sz w:val="22"/>
          <w:szCs w:val="22"/>
        </w:rPr>
        <w:t xml:space="preserve">foi </w:t>
      </w:r>
      <w:r w:rsidRPr="00A278B1">
        <w:rPr>
          <w:rFonts w:ascii="Arial" w:hAnsi="Arial" w:cs="Arial"/>
          <w:color w:val="000000"/>
          <w:sz w:val="22"/>
          <w:szCs w:val="22"/>
        </w:rPr>
        <w:t>potencializado por formas de relações sociais marcadamente capitalistas que semeiam o desprezo pela vida da grande maioria da população, alcançando rapidamente uma ampla extensão geográfica.</w:t>
      </w:r>
    </w:p>
    <w:p w14:paraId="47213019" w14:textId="77777777"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Em processos de dispersão de vírus, como é o caso do SARS-CoV-2, as redes desempenham papel central. Não se trata apenas de materialidade, como lembra Milton Santos (1996). As redes têm também um sentido social e político, por conta das pessoas que circulam por elas assim como dos seus valores e mensagens. Ainda para Milton Santos, as redes não são uniformes. As localidades e as pessoas se inserem nas redes de diferentes maneiras e, assim, as relações sociais e de poder regulam a forma como a circulação acontece. Não é por outra razão que a entrada do vírus teve nas classes mais abastadas seu principal vetor, ou seja, exatamente aquelas com condições econômicas de circular pelas redes de circulação aeroviárias mundiais. A difusão da covid-19, portanto, acompanhou os fluxos e as classes no território.</w:t>
      </w:r>
    </w:p>
    <w:p w14:paraId="5F3F0579" w14:textId="7590AB1A"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Não é surpresa, portanto, que a chegada da covid-19 no Brasil ocorreu na cidade de São Paulo, principal nó da rede urbana brasileira, com expressivo acúmulo de capital, informação e pessoas dentre as regiões brasileiras. Depois dela, os casos foram surgindo no interior do país. No Paraná, os primeiros casos ocorreram em Curitiba, capital do estado, e na cidade de Cianorte, ambos por casos advindos de contaminação no exterior</w:t>
      </w:r>
      <w:r w:rsidR="008A42BD" w:rsidRPr="00A278B1">
        <w:rPr>
          <w:rFonts w:ascii="Arial" w:hAnsi="Arial" w:cs="Arial"/>
          <w:color w:val="000000"/>
          <w:sz w:val="22"/>
          <w:szCs w:val="22"/>
        </w:rPr>
        <w:t xml:space="preserve"> (MARTINUCI</w:t>
      </w:r>
      <w:r w:rsidR="001B3823" w:rsidRPr="00A278B1">
        <w:rPr>
          <w:rFonts w:ascii="Arial" w:hAnsi="Arial" w:cs="Arial"/>
          <w:color w:val="000000"/>
          <w:sz w:val="22"/>
          <w:szCs w:val="22"/>
        </w:rPr>
        <w:t xml:space="preserve"> </w:t>
      </w:r>
      <w:r w:rsidR="008A42BD" w:rsidRPr="00A278B1">
        <w:rPr>
          <w:rFonts w:ascii="Arial" w:hAnsi="Arial" w:cs="Arial"/>
          <w:color w:val="000000"/>
          <w:sz w:val="22"/>
          <w:szCs w:val="22"/>
        </w:rPr>
        <w:t xml:space="preserve">et al, 2020). </w:t>
      </w:r>
      <w:r w:rsidRPr="00A278B1">
        <w:rPr>
          <w:rFonts w:ascii="Arial" w:hAnsi="Arial" w:cs="Arial"/>
          <w:color w:val="000000"/>
          <w:sz w:val="22"/>
          <w:szCs w:val="22"/>
        </w:rPr>
        <w:t>Na cidade de Maringá, como já mencionado, o primeiro caso também decorreu de contaminação advinda do exterior.</w:t>
      </w:r>
      <w:r w:rsidR="008A42BD" w:rsidRPr="00A278B1">
        <w:rPr>
          <w:rFonts w:ascii="Arial" w:hAnsi="Arial" w:cs="Arial"/>
          <w:color w:val="000000"/>
          <w:sz w:val="22"/>
          <w:szCs w:val="22"/>
        </w:rPr>
        <w:t xml:space="preserve"> </w:t>
      </w:r>
    </w:p>
    <w:p w14:paraId="0FC1DD5C" w14:textId="77777777"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O espaço geográfico, lembra Milton Santos (1978), é um fato social. Ele é produzido pela sociedade e, simultaneamente, condiciona a sociedade e seu desenvolvimento. São, portanto, indissociáveis. O espaço geográfico é o contexto que condiciona os eventos e a existência em situação. A partir dessa compreensão pode-se dizer que os eventos em saúde são simultaneamente fenômenos sociais e geográficos. Essa perspectiva fornece condições para uma melhor análise do processo saúde-doença, com implicações nas políticas de promoção e de cuidados em saúde.</w:t>
      </w:r>
    </w:p>
    <w:p w14:paraId="1B55C334" w14:textId="671E4616"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lastRenderedPageBreak/>
        <w:t xml:space="preserve">A organização e a produção do espaço não influenciam apenas na difusão de </w:t>
      </w:r>
      <w:proofErr w:type="spellStart"/>
      <w:r w:rsidRPr="00A278B1">
        <w:rPr>
          <w:rFonts w:ascii="Arial" w:hAnsi="Arial" w:cs="Arial"/>
          <w:color w:val="000000"/>
          <w:sz w:val="22"/>
          <w:szCs w:val="22"/>
        </w:rPr>
        <w:t>microorganismos</w:t>
      </w:r>
      <w:proofErr w:type="spellEnd"/>
      <w:r w:rsidRPr="00A278B1">
        <w:rPr>
          <w:rFonts w:ascii="Arial" w:hAnsi="Arial" w:cs="Arial"/>
          <w:color w:val="000000"/>
          <w:sz w:val="22"/>
          <w:szCs w:val="22"/>
        </w:rPr>
        <w:t xml:space="preserve">, como o vírus causador da covid-19, como também influenciam no acesso à saúde e no desenvolvimento do processo saúde-doença. A forma como o espaço está organizado, derivado de uma lógica de acumulação do capital, impactam na qualidade de vida da população, sobretudo da classe trabalhadora. A produção de um espaço desigual que impera nas sociedades de mercado, na escala das cidades, resulta em áreas de exclusão social onde ocorrem mais fortemente </w:t>
      </w:r>
      <w:r w:rsidR="00BC008E" w:rsidRPr="00A278B1">
        <w:rPr>
          <w:rFonts w:ascii="Arial" w:hAnsi="Arial" w:cs="Arial"/>
          <w:color w:val="000000"/>
          <w:sz w:val="22"/>
          <w:szCs w:val="22"/>
        </w:rPr>
        <w:t>dificuldades de acesso ao sistema</w:t>
      </w:r>
      <w:r w:rsidRPr="00A278B1">
        <w:rPr>
          <w:rFonts w:ascii="Arial" w:hAnsi="Arial" w:cs="Arial"/>
          <w:color w:val="000000"/>
          <w:sz w:val="22"/>
          <w:szCs w:val="22"/>
        </w:rPr>
        <w:t xml:space="preserve"> </w:t>
      </w:r>
      <w:r w:rsidR="00BC008E" w:rsidRPr="00A278B1">
        <w:rPr>
          <w:rFonts w:ascii="Arial" w:hAnsi="Arial" w:cs="Arial"/>
          <w:color w:val="000000"/>
          <w:sz w:val="22"/>
          <w:szCs w:val="22"/>
        </w:rPr>
        <w:t>de</w:t>
      </w:r>
      <w:r w:rsidRPr="00A278B1">
        <w:rPr>
          <w:rFonts w:ascii="Arial" w:hAnsi="Arial" w:cs="Arial"/>
          <w:color w:val="000000"/>
          <w:sz w:val="22"/>
          <w:szCs w:val="22"/>
        </w:rPr>
        <w:t xml:space="preserve"> saúde. A característica anisotrópica do espaço, aprofundada pela lógica de produção capitalista como diferenças injustas, implica em abundância de recursos para uma </w:t>
      </w:r>
      <w:r w:rsidR="00BC008E" w:rsidRPr="00A278B1">
        <w:rPr>
          <w:rFonts w:ascii="Arial" w:hAnsi="Arial" w:cs="Arial"/>
          <w:color w:val="000000"/>
          <w:sz w:val="22"/>
          <w:szCs w:val="22"/>
        </w:rPr>
        <w:t xml:space="preserve">pequena </w:t>
      </w:r>
      <w:r w:rsidRPr="00A278B1">
        <w:rPr>
          <w:rFonts w:ascii="Arial" w:hAnsi="Arial" w:cs="Arial"/>
          <w:color w:val="000000"/>
          <w:sz w:val="22"/>
          <w:szCs w:val="22"/>
        </w:rPr>
        <w:t>parte da população e escassez para a grande parte. Nessas condições, as doenças tendem a afetar mais fortemente os territórios empobrecidos.</w:t>
      </w:r>
    </w:p>
    <w:p w14:paraId="442E5EE2" w14:textId="77777777"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A relação da sociedade com o espaço e as formas de apropriação, impactam na vida e na saúde da população. O processo saúde-doença passa a ser diretamente influenciado pelo ambiente em que as pessoas residem, a infraestrutura a que elas têm acesso, como água tratada, coleta de esgoto e de lixo e, também, ao atendimento hospitalar e ao amparo estatal. Encontra-se, predominantemente, nessas áreas de exclusão social, os grupos sociais mais vulneráveis. Ou seja, aqueles grupos que, socioeconomicamente, são mais suscetíveis a certas problemáticas, como, por exemplo, aquelas relacionadas à saúde e a doenças infecciosas, como a covid-19.</w:t>
      </w:r>
    </w:p>
    <w:p w14:paraId="41FAD865" w14:textId="77777777"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A dificuldade no acesso à saúde pode ser analisada, portanto, por meio das características socioeconômicas, como nível de pobreza, desigualdade de renda, expectativa de vida, acesso a água, eletricidade e esgotamento sanitário, entre outros dados.</w:t>
      </w:r>
    </w:p>
    <w:p w14:paraId="4F4C81CB" w14:textId="4BDA4619"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Observa-se, então, que a infraestrutura disponível a essa população afeta a forma de acesso às práticas sanitárias e condições de vida que assegurem sua saúde. Em se tratando da covid-19, já se confirmou que “[...] a precariedade habitacional, a exposição ao vírus na continuidade da rotina de trabalho, sem a possibilidade de fazer isolamento, condição dos transportes públicos, dentre outros, estão nos fatores que fazem com que a população vulnerável seja mais exposta [...]” (FALQUETE, MORA, MARTELLI, 2020, p. 47).</w:t>
      </w:r>
    </w:p>
    <w:p w14:paraId="451C2030" w14:textId="77777777" w:rsidR="002E78A7" w:rsidRPr="00A278B1" w:rsidRDefault="002E78A7" w:rsidP="00EC2E0F">
      <w:pPr>
        <w:pStyle w:val="NormalWeb"/>
        <w:spacing w:before="240" w:beforeAutospacing="0" w:after="240" w:afterAutospacing="0" w:line="276" w:lineRule="auto"/>
        <w:ind w:firstLine="700"/>
        <w:jc w:val="both"/>
        <w:rPr>
          <w:rFonts w:ascii="Arial" w:hAnsi="Arial" w:cs="Arial"/>
        </w:rPr>
      </w:pPr>
      <w:r w:rsidRPr="00A278B1">
        <w:rPr>
          <w:rFonts w:ascii="Arial" w:hAnsi="Arial" w:cs="Arial"/>
          <w:color w:val="000000"/>
          <w:sz w:val="22"/>
          <w:szCs w:val="22"/>
        </w:rPr>
        <w:t>Assim, são diversos fatores que influenciam na qualidade de vida e, consequentemente, na saúde da população, inserindo certas parcelas a uma maior suscetibilidade de ser infectada por doenças, como a covid-19 e, também, de serem levadas ao óbito.</w:t>
      </w:r>
    </w:p>
    <w:p w14:paraId="51913625" w14:textId="50A515BB" w:rsidR="002E78A7" w:rsidRPr="00A278B1" w:rsidRDefault="002E78A7" w:rsidP="00EC2E0F">
      <w:pPr>
        <w:pStyle w:val="NormalWeb"/>
        <w:spacing w:before="240" w:beforeAutospacing="0" w:after="240" w:afterAutospacing="0" w:line="276" w:lineRule="auto"/>
        <w:ind w:firstLine="700"/>
        <w:jc w:val="both"/>
        <w:rPr>
          <w:rFonts w:ascii="Arial" w:hAnsi="Arial" w:cs="Arial"/>
          <w:color w:val="000000"/>
          <w:sz w:val="22"/>
          <w:szCs w:val="22"/>
        </w:rPr>
      </w:pPr>
      <w:r w:rsidRPr="00A278B1">
        <w:rPr>
          <w:rFonts w:ascii="Arial" w:hAnsi="Arial" w:cs="Arial"/>
          <w:color w:val="000000"/>
          <w:sz w:val="22"/>
          <w:szCs w:val="22"/>
        </w:rPr>
        <w:t>Considerando essas questões levantadas, derivadas de registros em já numerosas pesquisas, esse trabalho procura responder se na cidade de Maringá em particular há algum nível de correlação entre as diferentes taxas de infecção e óbito por Covid-19 e os diferentes níveis de inclusão/exclusão social.</w:t>
      </w:r>
    </w:p>
    <w:p w14:paraId="4AD7120A" w14:textId="77777777" w:rsidR="002E78A7" w:rsidRPr="00A278B1" w:rsidRDefault="002E78A7" w:rsidP="00EC2E0F">
      <w:pPr>
        <w:pStyle w:val="NormalWeb"/>
        <w:spacing w:before="240" w:beforeAutospacing="0" w:after="240" w:afterAutospacing="0" w:line="276" w:lineRule="auto"/>
        <w:jc w:val="both"/>
        <w:rPr>
          <w:rFonts w:ascii="Arial" w:hAnsi="Arial" w:cs="Arial"/>
        </w:rPr>
      </w:pPr>
      <w:r w:rsidRPr="00A278B1">
        <w:rPr>
          <w:rFonts w:ascii="Arial" w:hAnsi="Arial" w:cs="Arial"/>
          <w:b/>
          <w:bCs/>
          <w:color w:val="000000"/>
          <w:sz w:val="22"/>
          <w:szCs w:val="22"/>
        </w:rPr>
        <w:lastRenderedPageBreak/>
        <w:t>Área de estudo</w:t>
      </w:r>
    </w:p>
    <w:p w14:paraId="37DBF95A" w14:textId="0A4AB21B" w:rsidR="002E78A7" w:rsidRDefault="002E78A7" w:rsidP="00EC2E0F">
      <w:pPr>
        <w:pStyle w:val="NormalWeb"/>
        <w:spacing w:before="240" w:beforeAutospacing="0" w:after="240" w:afterAutospacing="0" w:line="276" w:lineRule="auto"/>
        <w:ind w:firstLine="700"/>
        <w:jc w:val="both"/>
        <w:rPr>
          <w:rFonts w:ascii="Arial" w:hAnsi="Arial" w:cs="Arial"/>
          <w:color w:val="000000"/>
          <w:sz w:val="22"/>
          <w:szCs w:val="22"/>
        </w:rPr>
      </w:pPr>
      <w:r w:rsidRPr="00A278B1">
        <w:rPr>
          <w:rFonts w:ascii="Arial" w:hAnsi="Arial" w:cs="Arial"/>
          <w:color w:val="000000"/>
          <w:sz w:val="22"/>
          <w:szCs w:val="22"/>
        </w:rPr>
        <w:t>Maringá localiza-se na região noroeste do Paraná, sendo umas das principais cidades no estado e, portanto, de grande importância para a rede urbana regional, conforme registrado nos estudos do IBGE (2020). Além da cidade estar localizada estrategicamente no eixo rodoviário, ela possui “um dos principais aeroportos do interior do estado do Paraná” (MARTINUCI et al, 2020, p. 90), o que possibilita a intermediação no deslocamento de pessoas da cidade ao exterior. </w:t>
      </w:r>
    </w:p>
    <w:p w14:paraId="6E9F6503" w14:textId="77777777" w:rsidR="00284A49" w:rsidRPr="00A278B1" w:rsidRDefault="00284A49" w:rsidP="00EC2E0F">
      <w:pPr>
        <w:pStyle w:val="NormalWeb"/>
        <w:spacing w:before="240" w:beforeAutospacing="0" w:after="240" w:afterAutospacing="0" w:line="276" w:lineRule="auto"/>
        <w:ind w:firstLine="700"/>
        <w:jc w:val="both"/>
        <w:rPr>
          <w:rFonts w:ascii="Arial" w:hAnsi="Arial" w:cs="Arial"/>
          <w:color w:val="000000"/>
          <w:sz w:val="22"/>
          <w:szCs w:val="22"/>
        </w:rPr>
      </w:pPr>
    </w:p>
    <w:p w14:paraId="0FE6C513" w14:textId="0D14126A" w:rsidR="006748BC" w:rsidRPr="00A278B1" w:rsidRDefault="006748BC" w:rsidP="006748BC">
      <w:pPr>
        <w:pStyle w:val="NormalWeb"/>
        <w:spacing w:before="240" w:beforeAutospacing="0" w:after="240" w:afterAutospacing="0" w:line="276" w:lineRule="auto"/>
        <w:jc w:val="center"/>
        <w:rPr>
          <w:rFonts w:ascii="Arial" w:hAnsi="Arial" w:cs="Arial"/>
          <w:color w:val="000000"/>
          <w:sz w:val="22"/>
          <w:szCs w:val="22"/>
        </w:rPr>
      </w:pPr>
      <w:bookmarkStart w:id="0" w:name="_Hlk73297102"/>
      <w:r w:rsidRPr="00A278B1">
        <w:rPr>
          <w:rFonts w:ascii="Arial" w:hAnsi="Arial" w:cs="Arial"/>
          <w:b/>
          <w:bCs/>
          <w:noProof/>
          <w:color w:val="000000"/>
          <w:sz w:val="22"/>
          <w:szCs w:val="22"/>
          <w:bdr w:val="none" w:sz="0" w:space="0" w:color="auto" w:frame="1"/>
        </w:rPr>
        <w:drawing>
          <wp:anchor distT="0" distB="0" distL="114300" distR="114300" simplePos="0" relativeHeight="251658240" behindDoc="0" locked="0" layoutInCell="1" allowOverlap="1" wp14:anchorId="2109597D" wp14:editId="509E845D">
            <wp:simplePos x="0" y="0"/>
            <wp:positionH relativeFrom="column">
              <wp:posOffset>38100</wp:posOffset>
            </wp:positionH>
            <wp:positionV relativeFrom="paragraph">
              <wp:posOffset>360045</wp:posOffset>
            </wp:positionV>
            <wp:extent cx="5347335" cy="3781425"/>
            <wp:effectExtent l="19050" t="19050" r="5715" b="9525"/>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47335" cy="37814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278B1">
        <w:rPr>
          <w:rFonts w:ascii="Arial" w:hAnsi="Arial" w:cs="Arial"/>
          <w:color w:val="000000"/>
          <w:sz w:val="22"/>
          <w:szCs w:val="22"/>
        </w:rPr>
        <w:t xml:space="preserve">Figura 1: Localização de Maringá no Estado do Paraná </w:t>
      </w:r>
    </w:p>
    <w:bookmarkEnd w:id="0"/>
    <w:p w14:paraId="76EBC7C2" w14:textId="3BAB4569" w:rsidR="002E78A7" w:rsidRPr="00A278B1" w:rsidRDefault="002E78A7" w:rsidP="002E78A7">
      <w:pPr>
        <w:pStyle w:val="NormalWeb"/>
        <w:spacing w:before="240" w:beforeAutospacing="0" w:after="240" w:afterAutospacing="0"/>
        <w:ind w:firstLine="700"/>
        <w:jc w:val="both"/>
        <w:rPr>
          <w:rFonts w:ascii="Arial" w:hAnsi="Arial" w:cs="Arial"/>
        </w:rPr>
      </w:pPr>
    </w:p>
    <w:p w14:paraId="48E20CF4" w14:textId="0CC42835" w:rsidR="002E78A7" w:rsidRPr="00A278B1" w:rsidRDefault="002E78A7" w:rsidP="00EC2E0F">
      <w:pPr>
        <w:spacing w:after="0" w:line="276" w:lineRule="auto"/>
        <w:ind w:firstLine="720"/>
        <w:jc w:val="both"/>
        <w:rPr>
          <w:rFonts w:ascii="Arial" w:eastAsia="Times New Roman" w:hAnsi="Arial" w:cs="Arial"/>
          <w:sz w:val="24"/>
          <w:szCs w:val="24"/>
          <w:lang w:eastAsia="pt-BR"/>
        </w:rPr>
      </w:pPr>
      <w:r w:rsidRPr="00A278B1">
        <w:rPr>
          <w:rFonts w:ascii="Arial" w:eastAsia="Times New Roman" w:hAnsi="Arial" w:cs="Arial"/>
          <w:color w:val="000000"/>
          <w:lang w:eastAsia="pt-BR"/>
        </w:rPr>
        <w:t>O município de Maringá, segundo dados de 2017, possuía uma população de 406.693 habitantes e</w:t>
      </w:r>
      <w:r w:rsidR="00BC008E" w:rsidRPr="00A278B1">
        <w:rPr>
          <w:rFonts w:ascii="Arial" w:eastAsia="Times New Roman" w:hAnsi="Arial" w:cs="Arial"/>
          <w:color w:val="000000"/>
          <w:lang w:eastAsia="pt-BR"/>
        </w:rPr>
        <w:t xml:space="preserve"> em 2020</w:t>
      </w:r>
      <w:r w:rsidRPr="00A278B1">
        <w:rPr>
          <w:rFonts w:ascii="Arial" w:eastAsia="Times New Roman" w:hAnsi="Arial" w:cs="Arial"/>
          <w:color w:val="000000"/>
          <w:lang w:eastAsia="pt-BR"/>
        </w:rPr>
        <w:t xml:space="preserve"> sua população </w:t>
      </w:r>
      <w:r w:rsidR="00BC008E" w:rsidRPr="00A278B1">
        <w:rPr>
          <w:rFonts w:ascii="Arial" w:eastAsia="Times New Roman" w:hAnsi="Arial" w:cs="Arial"/>
          <w:color w:val="000000"/>
          <w:lang w:eastAsia="pt-BR"/>
        </w:rPr>
        <w:t>foi</w:t>
      </w:r>
      <w:r w:rsidRPr="00A278B1">
        <w:rPr>
          <w:rFonts w:ascii="Arial" w:eastAsia="Times New Roman" w:hAnsi="Arial" w:cs="Arial"/>
          <w:color w:val="000000"/>
          <w:lang w:eastAsia="pt-BR"/>
        </w:rPr>
        <w:t xml:space="preserve"> estimada, pelo IBGE, em 430.157 </w:t>
      </w:r>
      <w:r w:rsidRPr="00A278B1">
        <w:rPr>
          <w:rFonts w:ascii="Arial" w:eastAsia="Times New Roman" w:hAnsi="Arial" w:cs="Arial"/>
          <w:color w:val="000000"/>
          <w:shd w:val="clear" w:color="auto" w:fill="FFFFFF"/>
          <w:lang w:eastAsia="pt-BR"/>
        </w:rPr>
        <w:t>habitantes. Os dados do Censo demográfico de 2010 do IBGE apresentaram os seguintes números de habitantes para a área urbana do município: distrito sede com 340.800 hab</w:t>
      </w:r>
      <w:r w:rsidR="00BC008E" w:rsidRPr="00A278B1">
        <w:rPr>
          <w:rFonts w:ascii="Arial" w:eastAsia="Times New Roman" w:hAnsi="Arial" w:cs="Arial"/>
          <w:color w:val="000000"/>
          <w:shd w:val="clear" w:color="auto" w:fill="FFFFFF"/>
          <w:lang w:eastAsia="pt-BR"/>
        </w:rPr>
        <w:t>itantes</w:t>
      </w:r>
      <w:r w:rsidRPr="00A278B1">
        <w:rPr>
          <w:rFonts w:ascii="Arial" w:eastAsia="Times New Roman" w:hAnsi="Arial" w:cs="Arial"/>
          <w:color w:val="000000"/>
          <w:shd w:val="clear" w:color="auto" w:fill="FFFFFF"/>
          <w:lang w:eastAsia="pt-BR"/>
        </w:rPr>
        <w:t xml:space="preserve">, Floriano </w:t>
      </w:r>
      <w:r w:rsidR="00BC008E" w:rsidRPr="00A278B1">
        <w:rPr>
          <w:rFonts w:ascii="Arial" w:eastAsia="Times New Roman" w:hAnsi="Arial" w:cs="Arial"/>
          <w:color w:val="000000"/>
          <w:shd w:val="clear" w:color="auto" w:fill="FFFFFF"/>
          <w:lang w:eastAsia="pt-BR"/>
        </w:rPr>
        <w:t xml:space="preserve">com </w:t>
      </w:r>
      <w:r w:rsidRPr="00A278B1">
        <w:rPr>
          <w:rFonts w:ascii="Arial" w:eastAsia="Times New Roman" w:hAnsi="Arial" w:cs="Arial"/>
          <w:color w:val="000000"/>
          <w:shd w:val="clear" w:color="auto" w:fill="FFFFFF"/>
          <w:lang w:eastAsia="pt-BR"/>
        </w:rPr>
        <w:t>1.286 e Iguatemi 6</w:t>
      </w:r>
      <w:r w:rsidR="00BC008E" w:rsidRPr="00A278B1">
        <w:rPr>
          <w:rFonts w:ascii="Arial" w:eastAsia="Times New Roman" w:hAnsi="Arial" w:cs="Arial"/>
          <w:color w:val="000000"/>
          <w:shd w:val="clear" w:color="auto" w:fill="FFFFFF"/>
          <w:lang w:eastAsia="pt-BR"/>
        </w:rPr>
        <w:t>.</w:t>
      </w:r>
      <w:r w:rsidRPr="00A278B1">
        <w:rPr>
          <w:rFonts w:ascii="Arial" w:eastAsia="Times New Roman" w:hAnsi="Arial" w:cs="Arial"/>
          <w:color w:val="000000"/>
          <w:shd w:val="clear" w:color="auto" w:fill="FFFFFF"/>
          <w:lang w:eastAsia="pt-BR"/>
        </w:rPr>
        <w:t>969. </w:t>
      </w:r>
    </w:p>
    <w:p w14:paraId="2317CA61" w14:textId="30891DC2" w:rsidR="002E78A7" w:rsidRDefault="002E78A7" w:rsidP="00EC2E0F">
      <w:pPr>
        <w:spacing w:before="240" w:after="240" w:line="276" w:lineRule="auto"/>
        <w:jc w:val="both"/>
        <w:rPr>
          <w:rFonts w:ascii="Arial" w:eastAsia="Times New Roman" w:hAnsi="Arial" w:cs="Arial"/>
          <w:color w:val="000000"/>
          <w:lang w:eastAsia="pt-BR"/>
        </w:rPr>
      </w:pPr>
      <w:r w:rsidRPr="00A278B1">
        <w:rPr>
          <w:rFonts w:ascii="Arial" w:eastAsia="Times New Roman" w:hAnsi="Arial" w:cs="Arial"/>
          <w:color w:val="000000"/>
          <w:lang w:eastAsia="pt-BR"/>
        </w:rPr>
        <w:t xml:space="preserve">            A situação geográfica da cidade Maringá, como se percebe, a expõe à rápida chegada de vírus em seu território. Se no Brasil o primeiro caso foi confirmado em 26 </w:t>
      </w:r>
      <w:r w:rsidRPr="00A278B1">
        <w:rPr>
          <w:rFonts w:ascii="Arial" w:eastAsia="Times New Roman" w:hAnsi="Arial" w:cs="Arial"/>
          <w:color w:val="000000"/>
          <w:lang w:eastAsia="pt-BR"/>
        </w:rPr>
        <w:lastRenderedPageBreak/>
        <w:t xml:space="preserve">de fevereiro de 2020, o primeiro caso em Maringá não demorou muito a ser confirmado, mais precisamente menos de 1 mês após, em 18 de março de 2020. Conforme registraram </w:t>
      </w:r>
      <w:proofErr w:type="spellStart"/>
      <w:r w:rsidRPr="00A278B1">
        <w:rPr>
          <w:rFonts w:ascii="Arial" w:eastAsia="Times New Roman" w:hAnsi="Arial" w:cs="Arial"/>
          <w:color w:val="000000"/>
          <w:lang w:eastAsia="pt-BR"/>
        </w:rPr>
        <w:t>Martinuci</w:t>
      </w:r>
      <w:proofErr w:type="spellEnd"/>
      <w:r w:rsidRPr="00A278B1">
        <w:rPr>
          <w:rFonts w:ascii="Arial" w:eastAsia="Times New Roman" w:hAnsi="Arial" w:cs="Arial"/>
          <w:color w:val="000000"/>
          <w:lang w:eastAsia="pt-BR"/>
        </w:rPr>
        <w:t xml:space="preserve"> et al (2020), em Maringá o primeiro também ocorreu por infecção direta no exterior. O Boletim Epidemiológico n° 24 da Secretaria Municipal de Saúde, de 26 de março de 2021 (MARINGA, 2021), registrou que um ano de </w:t>
      </w:r>
      <w:proofErr w:type="spellStart"/>
      <w:r w:rsidRPr="00A278B1">
        <w:rPr>
          <w:rFonts w:ascii="Arial" w:eastAsia="Times New Roman" w:hAnsi="Arial" w:cs="Arial"/>
          <w:color w:val="000000"/>
          <w:lang w:eastAsia="pt-BR"/>
        </w:rPr>
        <w:t>sindemia</w:t>
      </w:r>
      <w:proofErr w:type="spellEnd"/>
      <w:r w:rsidRPr="00A278B1">
        <w:rPr>
          <w:rFonts w:ascii="Arial" w:eastAsia="Times New Roman" w:hAnsi="Arial" w:cs="Arial"/>
          <w:color w:val="000000"/>
          <w:lang w:eastAsia="pt-BR"/>
        </w:rPr>
        <w:t xml:space="preserve"> da Covid-19 resultou em mais de 36.800 casos confirmados</w:t>
      </w:r>
      <w:r w:rsidR="009062D4" w:rsidRPr="00A278B1">
        <w:rPr>
          <w:rFonts w:ascii="Arial" w:eastAsia="Times New Roman" w:hAnsi="Arial" w:cs="Arial"/>
          <w:color w:val="000000"/>
          <w:lang w:eastAsia="pt-BR"/>
        </w:rPr>
        <w:t xml:space="preserve"> </w:t>
      </w:r>
      <w:r w:rsidRPr="00A278B1">
        <w:rPr>
          <w:rFonts w:ascii="Arial" w:eastAsia="Times New Roman" w:hAnsi="Arial" w:cs="Arial"/>
          <w:color w:val="000000"/>
          <w:lang w:eastAsia="pt-BR"/>
        </w:rPr>
        <w:t xml:space="preserve">e 667 </w:t>
      </w:r>
      <w:r w:rsidR="00825B68" w:rsidRPr="00A278B1">
        <w:rPr>
          <w:rFonts w:ascii="Arial" w:eastAsia="Times New Roman" w:hAnsi="Arial" w:cs="Arial"/>
          <w:color w:val="000000"/>
          <w:lang w:eastAsia="pt-BR"/>
        </w:rPr>
        <w:t>óbitos.</w:t>
      </w:r>
    </w:p>
    <w:p w14:paraId="2B64579C" w14:textId="5DB7B2E3" w:rsidR="00053F3F" w:rsidRPr="00A278B1" w:rsidRDefault="00053F3F" w:rsidP="00505C9A">
      <w:pPr>
        <w:pStyle w:val="NormalWeb"/>
        <w:spacing w:before="240" w:beforeAutospacing="0" w:after="240" w:afterAutospacing="0" w:line="276" w:lineRule="auto"/>
        <w:jc w:val="center"/>
        <w:rPr>
          <w:rFonts w:ascii="Arial" w:hAnsi="Arial" w:cs="Arial"/>
          <w:color w:val="000000"/>
          <w:sz w:val="22"/>
          <w:szCs w:val="22"/>
        </w:rPr>
      </w:pPr>
      <w:r w:rsidRPr="00A278B1">
        <w:rPr>
          <w:rFonts w:ascii="Arial" w:hAnsi="Arial" w:cs="Arial"/>
          <w:color w:val="000000"/>
          <w:sz w:val="22"/>
          <w:szCs w:val="22"/>
        </w:rPr>
        <w:t xml:space="preserve">Figura </w:t>
      </w:r>
      <w:r>
        <w:rPr>
          <w:rFonts w:ascii="Arial" w:hAnsi="Arial" w:cs="Arial"/>
          <w:color w:val="000000"/>
          <w:sz w:val="22"/>
          <w:szCs w:val="22"/>
        </w:rPr>
        <w:t>2</w:t>
      </w:r>
      <w:r w:rsidRPr="00A278B1">
        <w:rPr>
          <w:rFonts w:ascii="Arial" w:hAnsi="Arial" w:cs="Arial"/>
          <w:color w:val="000000"/>
          <w:sz w:val="22"/>
          <w:szCs w:val="22"/>
        </w:rPr>
        <w:t xml:space="preserve">: </w:t>
      </w:r>
      <w:r w:rsidR="009030C3">
        <w:rPr>
          <w:rFonts w:ascii="Arial" w:hAnsi="Arial" w:cs="Arial"/>
          <w:color w:val="000000"/>
          <w:sz w:val="22"/>
          <w:szCs w:val="22"/>
        </w:rPr>
        <w:t>Concentração dos casos de covid-19 em Maringá-PR no primeiro ano de Pandemia</w:t>
      </w:r>
    </w:p>
    <w:p w14:paraId="635FCB13" w14:textId="30349CD3" w:rsidR="00505C9A" w:rsidRPr="00505C9A" w:rsidRDefault="00053F3F" w:rsidP="00505C9A">
      <w:pPr>
        <w:spacing w:before="240" w:after="240" w:line="276" w:lineRule="auto"/>
        <w:jc w:val="center"/>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14:anchorId="0F1A7C22" wp14:editId="6D6CC9E1">
            <wp:extent cx="3369678" cy="2382628"/>
            <wp:effectExtent l="19050" t="19050" r="21590" b="17780"/>
            <wp:docPr id="5"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4732" cy="2400343"/>
                    </a:xfrm>
                    <a:prstGeom prst="rect">
                      <a:avLst/>
                    </a:prstGeom>
                    <a:ln>
                      <a:solidFill>
                        <a:schemeClr val="tx1"/>
                      </a:solidFill>
                    </a:ln>
                  </pic:spPr>
                </pic:pic>
              </a:graphicData>
            </a:graphic>
          </wp:inline>
        </w:drawing>
      </w:r>
    </w:p>
    <w:p w14:paraId="695FE0E4" w14:textId="454E2EA2" w:rsidR="00266970" w:rsidRPr="00266970" w:rsidRDefault="00266970" w:rsidP="00266970">
      <w:pPr>
        <w:jc w:val="center"/>
        <w:rPr>
          <w:rFonts w:ascii="Arial" w:eastAsia="Times New Roman" w:hAnsi="Arial" w:cs="Arial"/>
          <w:color w:val="000000"/>
          <w:lang w:eastAsia="pt-BR"/>
        </w:rPr>
      </w:pPr>
      <w:r w:rsidRPr="00266970">
        <w:rPr>
          <w:rFonts w:ascii="Arial" w:eastAsia="Times New Roman" w:hAnsi="Arial" w:cs="Arial"/>
          <w:color w:val="000000"/>
          <w:lang w:eastAsia="pt-BR"/>
        </w:rPr>
        <w:t xml:space="preserve">Figura </w:t>
      </w:r>
      <w:r>
        <w:rPr>
          <w:rFonts w:ascii="Arial" w:eastAsia="Times New Roman" w:hAnsi="Arial" w:cs="Arial"/>
          <w:color w:val="000000"/>
          <w:lang w:eastAsia="pt-BR"/>
        </w:rPr>
        <w:t>3</w:t>
      </w:r>
      <w:r w:rsidRPr="00266970">
        <w:rPr>
          <w:rFonts w:ascii="Arial" w:eastAsia="Times New Roman" w:hAnsi="Arial" w:cs="Arial"/>
          <w:color w:val="000000"/>
          <w:lang w:eastAsia="pt-BR"/>
        </w:rPr>
        <w:t xml:space="preserve">: Concentração dos </w:t>
      </w:r>
      <w:r>
        <w:rPr>
          <w:rFonts w:ascii="Arial" w:eastAsia="Times New Roman" w:hAnsi="Arial" w:cs="Arial"/>
          <w:color w:val="000000"/>
          <w:lang w:eastAsia="pt-BR"/>
        </w:rPr>
        <w:t>óbitos</w:t>
      </w:r>
      <w:r w:rsidRPr="00266970">
        <w:rPr>
          <w:rFonts w:ascii="Arial" w:eastAsia="Times New Roman" w:hAnsi="Arial" w:cs="Arial"/>
          <w:color w:val="000000"/>
          <w:lang w:eastAsia="pt-BR"/>
        </w:rPr>
        <w:t xml:space="preserve"> </w:t>
      </w:r>
      <w:r>
        <w:rPr>
          <w:rFonts w:ascii="Arial" w:eastAsia="Times New Roman" w:hAnsi="Arial" w:cs="Arial"/>
          <w:color w:val="000000"/>
          <w:lang w:eastAsia="pt-BR"/>
        </w:rPr>
        <w:t>por</w:t>
      </w:r>
      <w:r w:rsidRPr="00266970">
        <w:rPr>
          <w:rFonts w:ascii="Arial" w:eastAsia="Times New Roman" w:hAnsi="Arial" w:cs="Arial"/>
          <w:color w:val="000000"/>
          <w:lang w:eastAsia="pt-BR"/>
        </w:rPr>
        <w:t xml:space="preserve"> covid-19 em Maringá-PR no primeiro ano de Pandemia</w:t>
      </w:r>
    </w:p>
    <w:p w14:paraId="0B9392D6" w14:textId="695111D9" w:rsidR="00505C9A" w:rsidRDefault="00266970" w:rsidP="00505C9A">
      <w:pPr>
        <w:spacing w:before="240" w:after="240" w:line="276" w:lineRule="auto"/>
        <w:jc w:val="center"/>
        <w:rPr>
          <w:rFonts w:ascii="Arial" w:eastAsia="Times New Roman" w:hAnsi="Arial" w:cs="Arial"/>
          <w:color w:val="000000"/>
          <w:lang w:eastAsia="pt-BR"/>
        </w:rPr>
      </w:pPr>
      <w:r>
        <w:rPr>
          <w:rFonts w:ascii="Arial" w:eastAsia="Times New Roman" w:hAnsi="Arial" w:cs="Arial"/>
          <w:noProof/>
          <w:sz w:val="24"/>
          <w:szCs w:val="24"/>
          <w:lang w:eastAsia="pt-BR"/>
        </w:rPr>
        <w:drawing>
          <wp:inline distT="0" distB="0" distL="0" distR="0" wp14:anchorId="16224F24" wp14:editId="1657FAC7">
            <wp:extent cx="3277411" cy="2317244"/>
            <wp:effectExtent l="19050" t="19050" r="18415" b="260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9326" cy="2339809"/>
                    </a:xfrm>
                    <a:prstGeom prst="rect">
                      <a:avLst/>
                    </a:prstGeom>
                    <a:ln>
                      <a:solidFill>
                        <a:schemeClr val="tx1"/>
                      </a:solidFill>
                    </a:ln>
                  </pic:spPr>
                </pic:pic>
              </a:graphicData>
            </a:graphic>
          </wp:inline>
        </w:drawing>
      </w:r>
    </w:p>
    <w:p w14:paraId="171BE523" w14:textId="77777777" w:rsidR="009E46B0" w:rsidRDefault="009E46B0" w:rsidP="00505C9A">
      <w:pPr>
        <w:spacing w:before="240" w:after="240" w:line="276" w:lineRule="auto"/>
        <w:ind w:firstLine="708"/>
        <w:jc w:val="both"/>
        <w:rPr>
          <w:rFonts w:ascii="Arial" w:eastAsia="Times New Roman" w:hAnsi="Arial" w:cs="Arial"/>
          <w:color w:val="000000"/>
          <w:lang w:eastAsia="pt-BR"/>
        </w:rPr>
      </w:pPr>
    </w:p>
    <w:p w14:paraId="62BBA7A1" w14:textId="01899B6A" w:rsidR="002E78A7" w:rsidRPr="00505C9A" w:rsidRDefault="002E78A7" w:rsidP="00505C9A">
      <w:pPr>
        <w:spacing w:before="240" w:after="240" w:line="276" w:lineRule="auto"/>
        <w:ind w:firstLine="708"/>
        <w:jc w:val="both"/>
        <w:rPr>
          <w:rFonts w:ascii="Arial" w:eastAsia="Times New Roman" w:hAnsi="Arial" w:cs="Arial"/>
          <w:color w:val="000000"/>
          <w:lang w:eastAsia="pt-BR"/>
        </w:rPr>
      </w:pPr>
      <w:r w:rsidRPr="00A278B1">
        <w:rPr>
          <w:rFonts w:ascii="Arial" w:eastAsia="Times New Roman" w:hAnsi="Arial" w:cs="Arial"/>
          <w:color w:val="000000"/>
          <w:lang w:eastAsia="pt-BR"/>
        </w:rPr>
        <w:lastRenderedPageBreak/>
        <w:t>Dada a complexidade geográfica da situação da Covid-19 nos espaços urbanos, esse trabalho procurará identificar as mudanças no padrão espacial da doença ao longo de um ano e se as taxas de mortalidade e a incidência de casos guarda alguma relação com as diferenças sociais, econômicas e territoriais intraurbanas.</w:t>
      </w:r>
    </w:p>
    <w:p w14:paraId="541AB4C3" w14:textId="77777777" w:rsidR="002E78A7" w:rsidRPr="00A278B1" w:rsidRDefault="002E78A7" w:rsidP="002E78A7">
      <w:pPr>
        <w:spacing w:before="240" w:after="240" w:line="240" w:lineRule="auto"/>
        <w:jc w:val="both"/>
        <w:rPr>
          <w:rFonts w:ascii="Arial" w:eastAsia="Times New Roman" w:hAnsi="Arial" w:cs="Arial"/>
          <w:sz w:val="24"/>
          <w:szCs w:val="24"/>
          <w:lang w:eastAsia="pt-BR"/>
        </w:rPr>
      </w:pPr>
      <w:r w:rsidRPr="00A278B1">
        <w:rPr>
          <w:rFonts w:ascii="Arial" w:eastAsia="Times New Roman" w:hAnsi="Arial" w:cs="Arial"/>
          <w:color w:val="000000"/>
          <w:lang w:eastAsia="pt-BR"/>
        </w:rPr>
        <w:t> </w:t>
      </w:r>
    </w:p>
    <w:p w14:paraId="1F957E8C" w14:textId="28AE9F3E" w:rsidR="002E78A7" w:rsidRPr="00A278B1" w:rsidRDefault="009E46B0" w:rsidP="00EC2E0F">
      <w:pPr>
        <w:spacing w:before="240" w:after="240" w:line="276" w:lineRule="auto"/>
        <w:jc w:val="both"/>
        <w:rPr>
          <w:rFonts w:ascii="Arial" w:eastAsia="Times New Roman" w:hAnsi="Arial" w:cs="Arial"/>
          <w:sz w:val="24"/>
          <w:szCs w:val="24"/>
          <w:lang w:eastAsia="pt-BR"/>
        </w:rPr>
      </w:pPr>
      <w:r w:rsidRPr="00A278B1">
        <w:rPr>
          <w:rFonts w:ascii="Arial" w:eastAsia="Times New Roman" w:hAnsi="Arial" w:cs="Arial"/>
          <w:b/>
          <w:bCs/>
          <w:color w:val="000000"/>
          <w:lang w:eastAsia="pt-BR"/>
        </w:rPr>
        <w:t>METODOLOGIA</w:t>
      </w:r>
    </w:p>
    <w:p w14:paraId="4524954E" w14:textId="196871B8" w:rsidR="002E78A7" w:rsidRPr="00A278B1" w:rsidRDefault="002E78A7" w:rsidP="00245B11">
      <w:pPr>
        <w:spacing w:before="200" w:after="200" w:line="276" w:lineRule="auto"/>
        <w:ind w:firstLine="708"/>
        <w:jc w:val="both"/>
        <w:rPr>
          <w:rFonts w:ascii="Arial" w:eastAsia="Times New Roman" w:hAnsi="Arial" w:cs="Arial"/>
          <w:lang w:eastAsia="pt-BR"/>
        </w:rPr>
      </w:pPr>
      <w:r w:rsidRPr="00A278B1">
        <w:rPr>
          <w:rFonts w:ascii="Arial" w:eastAsia="Times New Roman" w:hAnsi="Arial" w:cs="Arial"/>
          <w:color w:val="000000"/>
          <w:lang w:eastAsia="pt-BR"/>
        </w:rPr>
        <w:t xml:space="preserve">Os dados analisados de Maringá são provenientes da junção de um ano de </w:t>
      </w:r>
      <w:proofErr w:type="spellStart"/>
      <w:r w:rsidRPr="00A278B1">
        <w:rPr>
          <w:rFonts w:ascii="Arial" w:eastAsia="Times New Roman" w:hAnsi="Arial" w:cs="Arial"/>
          <w:color w:val="000000"/>
          <w:lang w:eastAsia="pt-BR"/>
        </w:rPr>
        <w:t>sindemia</w:t>
      </w:r>
      <w:proofErr w:type="spellEnd"/>
      <w:r w:rsidRPr="00A278B1">
        <w:rPr>
          <w:rFonts w:ascii="Arial" w:eastAsia="Times New Roman" w:hAnsi="Arial" w:cs="Arial"/>
          <w:color w:val="000000"/>
          <w:lang w:eastAsia="pt-BR"/>
        </w:rPr>
        <w:t xml:space="preserve"> na cidade, onde, somadas as notificações positivas de residentes, foi </w:t>
      </w:r>
      <w:r w:rsidR="00245B11" w:rsidRPr="00A278B1">
        <w:rPr>
          <w:rFonts w:ascii="Arial" w:eastAsia="Times New Roman" w:hAnsi="Arial" w:cs="Arial"/>
          <w:color w:val="000000"/>
          <w:lang w:eastAsia="pt-BR"/>
        </w:rPr>
        <w:t xml:space="preserve">efetuado </w:t>
      </w:r>
      <w:r w:rsidRPr="00A278B1">
        <w:rPr>
          <w:rFonts w:ascii="Arial" w:eastAsia="Times New Roman" w:hAnsi="Arial" w:cs="Arial"/>
          <w:color w:val="000000"/>
          <w:lang w:eastAsia="pt-BR"/>
        </w:rPr>
        <w:t xml:space="preserve">a </w:t>
      </w:r>
      <w:r w:rsidR="00245B11" w:rsidRPr="00A278B1">
        <w:rPr>
          <w:rFonts w:ascii="Arial" w:eastAsia="Times New Roman" w:hAnsi="Arial" w:cs="Arial"/>
          <w:color w:val="000000"/>
          <w:lang w:eastAsia="pt-BR"/>
        </w:rPr>
        <w:t xml:space="preserve">mapeamento </w:t>
      </w:r>
      <w:r w:rsidRPr="00A278B1">
        <w:rPr>
          <w:rFonts w:ascii="Arial" w:eastAsia="Times New Roman" w:hAnsi="Arial" w:cs="Arial"/>
          <w:color w:val="000000"/>
          <w:lang w:eastAsia="pt-BR"/>
        </w:rPr>
        <w:t xml:space="preserve">dos casos utilizando o QGIS, </w:t>
      </w:r>
      <w:r w:rsidRPr="00A278B1">
        <w:rPr>
          <w:rFonts w:ascii="Arial" w:eastAsia="Times New Roman" w:hAnsi="Arial" w:cs="Arial"/>
          <w:i/>
          <w:iCs/>
          <w:color w:val="000000"/>
          <w:lang w:eastAsia="pt-BR"/>
        </w:rPr>
        <w:t xml:space="preserve">software </w:t>
      </w:r>
      <w:r w:rsidRPr="00A278B1">
        <w:rPr>
          <w:rFonts w:ascii="Arial" w:eastAsia="Times New Roman" w:hAnsi="Arial" w:cs="Arial"/>
          <w:color w:val="000000"/>
          <w:lang w:eastAsia="pt-BR"/>
        </w:rPr>
        <w:t>de Sistema de Informação Geográfica (SIG), distribuindo os casos pelo território municipal por períodos de três meses, resultando</w:t>
      </w:r>
      <w:r w:rsidR="00245B11" w:rsidRPr="00A278B1">
        <w:rPr>
          <w:rFonts w:ascii="Arial" w:eastAsia="Times New Roman" w:hAnsi="Arial" w:cs="Arial"/>
          <w:color w:val="000000"/>
          <w:lang w:eastAsia="pt-BR"/>
        </w:rPr>
        <w:t>, portanto,</w:t>
      </w:r>
      <w:r w:rsidRPr="00A278B1">
        <w:rPr>
          <w:rFonts w:ascii="Arial" w:eastAsia="Times New Roman" w:hAnsi="Arial" w:cs="Arial"/>
          <w:color w:val="000000"/>
          <w:lang w:eastAsia="pt-BR"/>
        </w:rPr>
        <w:t xml:space="preserve"> em quatro trimestres.  Posterior a</w:t>
      </w:r>
      <w:r w:rsidR="00245B11" w:rsidRPr="00A278B1">
        <w:rPr>
          <w:rFonts w:ascii="Arial" w:eastAsia="Times New Roman" w:hAnsi="Arial" w:cs="Arial"/>
          <w:color w:val="000000"/>
          <w:lang w:eastAsia="pt-BR"/>
        </w:rPr>
        <w:t>o</w:t>
      </w:r>
      <w:r w:rsidRPr="00A278B1">
        <w:rPr>
          <w:rFonts w:ascii="Arial" w:eastAsia="Times New Roman" w:hAnsi="Arial" w:cs="Arial"/>
          <w:color w:val="000000"/>
          <w:lang w:eastAsia="pt-BR"/>
        </w:rPr>
        <w:t xml:space="preserve"> </w:t>
      </w:r>
      <w:r w:rsidR="00245B11" w:rsidRPr="00A278B1">
        <w:rPr>
          <w:rFonts w:ascii="Arial" w:eastAsia="Times New Roman" w:hAnsi="Arial" w:cs="Arial"/>
          <w:color w:val="000000"/>
          <w:lang w:eastAsia="pt-BR"/>
        </w:rPr>
        <w:t>mapeamento</w:t>
      </w:r>
      <w:r w:rsidRPr="00A278B1">
        <w:rPr>
          <w:rFonts w:ascii="Arial" w:eastAsia="Times New Roman" w:hAnsi="Arial" w:cs="Arial"/>
          <w:color w:val="000000"/>
          <w:lang w:eastAsia="pt-BR"/>
        </w:rPr>
        <w:t xml:space="preserve">, foi </w:t>
      </w:r>
      <w:r w:rsidR="00245B11" w:rsidRPr="00A278B1">
        <w:rPr>
          <w:rFonts w:ascii="Arial" w:eastAsia="Times New Roman" w:hAnsi="Arial" w:cs="Arial"/>
          <w:color w:val="000000"/>
          <w:lang w:eastAsia="pt-BR"/>
        </w:rPr>
        <w:t>utilizada,</w:t>
      </w:r>
      <w:r w:rsidRPr="00A278B1">
        <w:rPr>
          <w:rFonts w:ascii="Arial" w:eastAsia="Times New Roman" w:hAnsi="Arial" w:cs="Arial"/>
          <w:color w:val="000000"/>
          <w:lang w:eastAsia="pt-BR"/>
        </w:rPr>
        <w:t xml:space="preserve"> no mesmo </w:t>
      </w:r>
      <w:r w:rsidRPr="00A278B1">
        <w:rPr>
          <w:rFonts w:ascii="Arial" w:eastAsia="Times New Roman" w:hAnsi="Arial" w:cs="Arial"/>
          <w:i/>
          <w:iCs/>
          <w:color w:val="000000"/>
          <w:lang w:eastAsia="pt-BR"/>
        </w:rPr>
        <w:t>software</w:t>
      </w:r>
      <w:r w:rsidRPr="00A278B1">
        <w:rPr>
          <w:rFonts w:ascii="Arial" w:eastAsia="Times New Roman" w:hAnsi="Arial" w:cs="Arial"/>
          <w:color w:val="000000"/>
          <w:lang w:eastAsia="pt-BR"/>
        </w:rPr>
        <w:t>, a malha cartográfica dos setores censitários de 2010, onde foi realizada a correlação dos casos de Covid-19 pela população residente em cada setor censitário</w:t>
      </w:r>
      <w:r w:rsidR="00245B11" w:rsidRPr="00A278B1">
        <w:rPr>
          <w:rFonts w:ascii="Arial" w:eastAsia="Times New Roman" w:hAnsi="Arial" w:cs="Arial"/>
          <w:color w:val="000000"/>
          <w:lang w:eastAsia="pt-BR"/>
        </w:rPr>
        <w:t xml:space="preserve"> gerando</w:t>
      </w:r>
      <w:r w:rsidRPr="00A278B1">
        <w:rPr>
          <w:rFonts w:ascii="Arial" w:eastAsia="Times New Roman" w:hAnsi="Arial" w:cs="Arial"/>
          <w:color w:val="000000"/>
          <w:lang w:eastAsia="pt-BR"/>
        </w:rPr>
        <w:t>, deste modo, uma taxa de incidência por 10</w:t>
      </w:r>
      <w:r w:rsidR="00245B11" w:rsidRPr="00A278B1">
        <w:rPr>
          <w:rFonts w:ascii="Arial" w:eastAsia="Times New Roman" w:hAnsi="Arial" w:cs="Arial"/>
          <w:color w:val="000000"/>
          <w:lang w:eastAsia="pt-BR"/>
        </w:rPr>
        <w:t>.</w:t>
      </w:r>
      <w:r w:rsidRPr="00A278B1">
        <w:rPr>
          <w:rFonts w:ascii="Arial" w:eastAsia="Times New Roman" w:hAnsi="Arial" w:cs="Arial"/>
          <w:color w:val="000000"/>
          <w:lang w:eastAsia="pt-BR"/>
        </w:rPr>
        <w:t>000 habitantes. </w:t>
      </w:r>
    </w:p>
    <w:p w14:paraId="7E24F0D9" w14:textId="4E1FC84E" w:rsidR="00577004" w:rsidRDefault="002E78A7" w:rsidP="00EC2E0F">
      <w:pPr>
        <w:spacing w:before="200" w:after="200" w:line="276" w:lineRule="auto"/>
        <w:jc w:val="both"/>
        <w:rPr>
          <w:rFonts w:ascii="Arial" w:eastAsia="Times New Roman" w:hAnsi="Arial" w:cs="Arial"/>
          <w:color w:val="000000"/>
          <w:lang w:eastAsia="pt-BR"/>
        </w:rPr>
      </w:pPr>
      <w:r w:rsidRPr="00A278B1">
        <w:rPr>
          <w:rFonts w:ascii="Arial" w:eastAsia="Times New Roman" w:hAnsi="Arial" w:cs="Arial"/>
          <w:color w:val="000000"/>
          <w:lang w:eastAsia="pt-BR"/>
        </w:rPr>
        <w:t> </w:t>
      </w:r>
      <w:r w:rsidR="00245B11" w:rsidRPr="00A278B1">
        <w:rPr>
          <w:rFonts w:ascii="Arial" w:eastAsia="Times New Roman" w:hAnsi="Arial" w:cs="Arial"/>
          <w:color w:val="000000"/>
          <w:lang w:eastAsia="pt-BR"/>
        </w:rPr>
        <w:tab/>
      </w:r>
      <w:r w:rsidRPr="00A278B1">
        <w:rPr>
          <w:rFonts w:ascii="Arial" w:eastAsia="Times New Roman" w:hAnsi="Arial" w:cs="Arial"/>
          <w:color w:val="000000"/>
          <w:lang w:eastAsia="pt-BR"/>
        </w:rPr>
        <w:t>Esta análise da incidência populacional nos setores censitários da cidade, por sua vez, foi associada aos índices de inclusão/exclusão social dos respectivos setores censitários</w:t>
      </w:r>
      <w:r w:rsidR="00245B11" w:rsidRPr="00A278B1">
        <w:rPr>
          <w:rFonts w:ascii="Arial" w:eastAsia="Times New Roman" w:hAnsi="Arial" w:cs="Arial"/>
          <w:color w:val="000000"/>
          <w:lang w:eastAsia="pt-BR"/>
        </w:rPr>
        <w:t xml:space="preserve"> produzidos pelo grupo de pesquisa “Ambiente, Sociedade e Geotecnologias (</w:t>
      </w:r>
      <w:proofErr w:type="spellStart"/>
      <w:r w:rsidR="00245B11" w:rsidRPr="00A278B1">
        <w:rPr>
          <w:rFonts w:ascii="Arial" w:eastAsia="Times New Roman" w:hAnsi="Arial" w:cs="Arial"/>
          <w:color w:val="000000"/>
          <w:lang w:eastAsia="pt-BR"/>
        </w:rPr>
        <w:t>Gepag</w:t>
      </w:r>
      <w:proofErr w:type="spellEnd"/>
      <w:r w:rsidR="00245B11" w:rsidRPr="00A278B1">
        <w:rPr>
          <w:rFonts w:ascii="Arial" w:eastAsia="Times New Roman" w:hAnsi="Arial" w:cs="Arial"/>
          <w:color w:val="000000"/>
          <w:lang w:eastAsia="pt-BR"/>
        </w:rPr>
        <w:t xml:space="preserve">/UEM). </w:t>
      </w:r>
      <w:r w:rsidR="002E6351" w:rsidRPr="00A278B1">
        <w:rPr>
          <w:rFonts w:ascii="Arial" w:eastAsia="Times New Roman" w:hAnsi="Arial" w:cs="Arial"/>
          <w:color w:val="000000"/>
          <w:lang w:eastAsia="pt-BR"/>
        </w:rPr>
        <w:t>O grupo produziu dois índices sínteses para a identificação das áreas mais vulneráveis da cidade: 1) um que foi denominado como IEX-Q15</w:t>
      </w:r>
      <w:r w:rsidR="007F4774" w:rsidRPr="00A278B1">
        <w:rPr>
          <w:rFonts w:ascii="Arial" w:eastAsia="Times New Roman" w:hAnsi="Arial" w:cs="Arial"/>
          <w:color w:val="000000"/>
          <w:lang w:eastAsia="pt-BR"/>
        </w:rPr>
        <w:t xml:space="preserve"> </w:t>
      </w:r>
      <w:r w:rsidR="004C7516" w:rsidRPr="00A278B1">
        <w:rPr>
          <w:rFonts w:ascii="Arial" w:eastAsia="Times New Roman" w:hAnsi="Arial" w:cs="Arial"/>
          <w:color w:val="000000"/>
          <w:lang w:eastAsia="pt-BR"/>
        </w:rPr>
        <w:t>,</w:t>
      </w:r>
      <w:r w:rsidR="007F4774" w:rsidRPr="00A278B1">
        <w:rPr>
          <w:rFonts w:ascii="Arial" w:eastAsia="Times New Roman" w:hAnsi="Arial" w:cs="Arial"/>
          <w:color w:val="000000"/>
          <w:lang w:eastAsia="pt-BR"/>
        </w:rPr>
        <w:t xml:space="preserve">cujo mapa pode ser visto na figura </w:t>
      </w:r>
      <w:r w:rsidR="009062D4" w:rsidRPr="00A278B1">
        <w:rPr>
          <w:rFonts w:ascii="Arial" w:eastAsia="Times New Roman" w:hAnsi="Arial" w:cs="Arial"/>
          <w:color w:val="000000"/>
          <w:lang w:eastAsia="pt-BR"/>
        </w:rPr>
        <w:t>4</w:t>
      </w:r>
      <w:r w:rsidR="002E6351" w:rsidRPr="00A278B1">
        <w:rPr>
          <w:rFonts w:ascii="Arial" w:eastAsia="Times New Roman" w:hAnsi="Arial" w:cs="Arial"/>
          <w:color w:val="000000"/>
          <w:lang w:eastAsia="pt-BR"/>
        </w:rPr>
        <w:t xml:space="preserve">, derivado da associação de 15 variáveis e classificada de acordo com a técnica dos </w:t>
      </w:r>
      <w:proofErr w:type="spellStart"/>
      <w:r w:rsidR="002E6351" w:rsidRPr="00A278B1">
        <w:rPr>
          <w:rFonts w:ascii="Arial" w:eastAsia="Times New Roman" w:hAnsi="Arial" w:cs="Arial"/>
          <w:color w:val="000000"/>
          <w:lang w:eastAsia="pt-BR"/>
        </w:rPr>
        <w:t>quantis</w:t>
      </w:r>
      <w:proofErr w:type="spellEnd"/>
      <w:r w:rsidR="002E6351" w:rsidRPr="00A278B1">
        <w:rPr>
          <w:rFonts w:ascii="Arial" w:eastAsia="Times New Roman" w:hAnsi="Arial" w:cs="Arial"/>
          <w:color w:val="000000"/>
          <w:lang w:eastAsia="pt-BR"/>
        </w:rPr>
        <w:t>, que define frequências iguais para cada um dos quatros intervalos de classe; 2) e outro que foi denominado de IEX-D15</w:t>
      </w:r>
      <w:r w:rsidR="007F4774" w:rsidRPr="00A278B1">
        <w:rPr>
          <w:rFonts w:ascii="Arial" w:eastAsia="Times New Roman" w:hAnsi="Arial" w:cs="Arial"/>
          <w:color w:val="000000"/>
          <w:lang w:eastAsia="pt-BR"/>
        </w:rPr>
        <w:t xml:space="preserve"> </w:t>
      </w:r>
      <w:r w:rsidR="004C7516" w:rsidRPr="00A278B1">
        <w:rPr>
          <w:rFonts w:ascii="Arial" w:eastAsia="Times New Roman" w:hAnsi="Arial" w:cs="Arial"/>
          <w:color w:val="000000"/>
          <w:lang w:eastAsia="pt-BR"/>
        </w:rPr>
        <w:t>,</w:t>
      </w:r>
      <w:r w:rsidR="00A10391" w:rsidRPr="00A278B1">
        <w:rPr>
          <w:rFonts w:ascii="Arial" w:eastAsia="Times New Roman" w:hAnsi="Arial" w:cs="Arial"/>
          <w:color w:val="000000"/>
          <w:lang w:eastAsia="pt-BR"/>
        </w:rPr>
        <w:t xml:space="preserve">cujo mapa pode ser visto na figura </w:t>
      </w:r>
      <w:r w:rsidR="009062D4" w:rsidRPr="00A278B1">
        <w:rPr>
          <w:rFonts w:ascii="Arial" w:eastAsia="Times New Roman" w:hAnsi="Arial" w:cs="Arial"/>
          <w:color w:val="000000"/>
          <w:lang w:eastAsia="pt-BR"/>
        </w:rPr>
        <w:t>5</w:t>
      </w:r>
      <w:r w:rsidR="002E6351" w:rsidRPr="00A278B1">
        <w:rPr>
          <w:rFonts w:ascii="Arial" w:eastAsia="Times New Roman" w:hAnsi="Arial" w:cs="Arial"/>
          <w:color w:val="000000"/>
          <w:lang w:eastAsia="pt-BR"/>
        </w:rPr>
        <w:t>, utilizando as mesmas 15 variáveis, mas aplicando a técnica da dispersão, que procura identificar agrupamentos, aumentando a homogeneidade intraclasse e a heterogeneidade interclasses. Por essa razão, a depender das características das séries de dados, pode-se chegar a distribuições bastante assimétricas, com a concentração de frequências em uma ou duas classes</w:t>
      </w:r>
      <w:r w:rsidR="002E6351" w:rsidRPr="00A278B1">
        <w:rPr>
          <w:rFonts w:ascii="Arial" w:eastAsia="Times New Roman" w:hAnsi="Arial" w:cs="Arial"/>
          <w:color w:val="000000"/>
          <w:u w:val="single"/>
          <w:lang w:eastAsia="pt-BR"/>
        </w:rPr>
        <w:t>.</w:t>
      </w:r>
      <w:r w:rsidR="000951E5" w:rsidRPr="00A278B1">
        <w:rPr>
          <w:rFonts w:ascii="Arial" w:eastAsia="Times New Roman" w:hAnsi="Arial" w:cs="Arial"/>
          <w:color w:val="000000"/>
          <w:lang w:eastAsia="pt-BR"/>
        </w:rPr>
        <w:t xml:space="preserve"> Essa última técnica, em particular, tem maior sensibilidade para capturar situações extremas e características, tanto de inclusão social, por um lado, quanto de exclusão social, por outro. Este trabalho trabalhou com ambos os indicadores.</w:t>
      </w:r>
    </w:p>
    <w:p w14:paraId="0CF03405" w14:textId="77777777" w:rsidR="009E46B0" w:rsidRPr="00A278B1" w:rsidRDefault="009E46B0" w:rsidP="009E46B0">
      <w:pPr>
        <w:spacing w:before="200" w:after="200" w:line="276" w:lineRule="auto"/>
        <w:ind w:firstLine="708"/>
        <w:jc w:val="both"/>
        <w:rPr>
          <w:rFonts w:ascii="Arial" w:eastAsia="Times New Roman" w:hAnsi="Arial" w:cs="Arial"/>
          <w:lang w:eastAsia="pt-BR"/>
        </w:rPr>
      </w:pPr>
      <w:r w:rsidRPr="00A278B1">
        <w:rPr>
          <w:rFonts w:ascii="Arial" w:eastAsia="Times New Roman" w:hAnsi="Arial" w:cs="Arial"/>
          <w:color w:val="000000"/>
          <w:lang w:eastAsia="pt-BR"/>
        </w:rPr>
        <w:t>Para medir o grau desta correlação entre os índices de inclusão/exclusão social e as taxas de incidência dos casos positivos e óbitos, por 10.000 habitantes, foi aplicado o coeficiente de Pearson (</w:t>
      </w:r>
      <w:proofErr w:type="spellStart"/>
      <w:r w:rsidRPr="00A278B1">
        <w:rPr>
          <w:rFonts w:ascii="Arial" w:eastAsia="Times New Roman" w:hAnsi="Arial" w:cs="Arial"/>
          <w:color w:val="000000"/>
          <w:lang w:eastAsia="pt-BR"/>
        </w:rPr>
        <w:t>r</w:t>
      </w:r>
      <w:r w:rsidRPr="00A278B1">
        <w:rPr>
          <w:rFonts w:ascii="Arial" w:eastAsia="Times New Roman" w:hAnsi="Arial" w:cs="Arial"/>
          <w:color w:val="000000"/>
          <w:vertAlign w:val="subscript"/>
          <w:lang w:eastAsia="pt-BR"/>
        </w:rPr>
        <w:t>s</w:t>
      </w:r>
      <w:proofErr w:type="spellEnd"/>
      <w:r w:rsidRPr="00A278B1">
        <w:rPr>
          <w:rFonts w:ascii="Arial" w:eastAsia="Times New Roman" w:hAnsi="Arial" w:cs="Arial"/>
          <w:color w:val="000000"/>
          <w:lang w:eastAsia="pt-BR"/>
        </w:rPr>
        <w:t xml:space="preserve">). O coeficiente de correlação produto momento de Karl Pearson conhecido como </w:t>
      </w:r>
      <w:r w:rsidRPr="00A278B1">
        <w:rPr>
          <w:rFonts w:ascii="Arial" w:eastAsia="Times New Roman" w:hAnsi="Arial" w:cs="Arial"/>
          <w:i/>
          <w:iCs/>
          <w:color w:val="000000"/>
          <w:lang w:eastAsia="pt-BR"/>
        </w:rPr>
        <w:t>r</w:t>
      </w:r>
      <w:r w:rsidRPr="00A278B1">
        <w:rPr>
          <w:rFonts w:ascii="Arial" w:eastAsia="Times New Roman" w:hAnsi="Arial" w:cs="Arial"/>
          <w:color w:val="000000"/>
          <w:lang w:eastAsia="pt-BR"/>
        </w:rPr>
        <w:t xml:space="preserve"> é um índice que indica o grau de associação linear entre variáveis, com dados na escala de intervalo ou de razão. O cálculo foi efetuado no software Google Planilhas®.</w:t>
      </w:r>
    </w:p>
    <w:p w14:paraId="34543210" w14:textId="1D116A2E" w:rsidR="009E46B0" w:rsidRDefault="009E46B0" w:rsidP="00EC2E0F">
      <w:pPr>
        <w:spacing w:before="200" w:after="200" w:line="276" w:lineRule="auto"/>
        <w:jc w:val="both"/>
        <w:rPr>
          <w:rFonts w:ascii="Arial" w:eastAsia="Times New Roman" w:hAnsi="Arial" w:cs="Arial"/>
          <w:color w:val="000000"/>
          <w:lang w:eastAsia="pt-BR"/>
        </w:rPr>
      </w:pPr>
    </w:p>
    <w:p w14:paraId="40231C6F" w14:textId="1E06B13B" w:rsidR="009E46B0" w:rsidRDefault="009E46B0" w:rsidP="00EC2E0F">
      <w:pPr>
        <w:spacing w:before="200" w:after="200" w:line="276" w:lineRule="auto"/>
        <w:jc w:val="both"/>
        <w:rPr>
          <w:rFonts w:ascii="Arial" w:eastAsia="Times New Roman" w:hAnsi="Arial" w:cs="Arial"/>
          <w:color w:val="000000"/>
          <w:lang w:eastAsia="pt-BR"/>
        </w:rPr>
      </w:pPr>
    </w:p>
    <w:p w14:paraId="15EA7BEB" w14:textId="2080E1E2" w:rsidR="00B5493E" w:rsidRPr="00A278B1" w:rsidRDefault="00B5493E" w:rsidP="00B5493E">
      <w:pPr>
        <w:spacing w:before="200" w:after="200" w:line="276" w:lineRule="auto"/>
        <w:jc w:val="center"/>
        <w:rPr>
          <w:rFonts w:ascii="Arial" w:hAnsi="Arial" w:cs="Arial"/>
          <w:color w:val="000000"/>
        </w:rPr>
      </w:pPr>
      <w:r w:rsidRPr="00A278B1">
        <w:rPr>
          <w:rFonts w:ascii="Arial" w:hAnsi="Arial" w:cs="Arial"/>
          <w:color w:val="000000"/>
        </w:rPr>
        <w:t xml:space="preserve">Figura </w:t>
      </w:r>
      <w:r w:rsidR="007035BD" w:rsidRPr="00A278B1">
        <w:rPr>
          <w:rFonts w:ascii="Arial" w:hAnsi="Arial" w:cs="Arial"/>
          <w:color w:val="000000"/>
        </w:rPr>
        <w:t>4</w:t>
      </w:r>
      <w:r w:rsidRPr="00A278B1">
        <w:rPr>
          <w:rFonts w:ascii="Arial" w:hAnsi="Arial" w:cs="Arial"/>
          <w:color w:val="000000"/>
        </w:rPr>
        <w:t xml:space="preserve">: </w:t>
      </w:r>
      <w:r w:rsidR="00F515B2" w:rsidRPr="00A278B1">
        <w:rPr>
          <w:rFonts w:ascii="Arial" w:hAnsi="Arial" w:cs="Arial"/>
          <w:color w:val="000000"/>
        </w:rPr>
        <w:t>Mapa de Inclusão/Exclusão Social – 2010 (IEX-Q15)</w:t>
      </w:r>
    </w:p>
    <w:p w14:paraId="0B665925" w14:textId="5560BE21" w:rsidR="00F9288D" w:rsidRPr="00A278B1" w:rsidRDefault="00351676" w:rsidP="00B5493E">
      <w:pPr>
        <w:spacing w:before="200" w:after="200" w:line="276" w:lineRule="auto"/>
        <w:jc w:val="center"/>
        <w:rPr>
          <w:rFonts w:ascii="Arial" w:hAnsi="Arial" w:cs="Arial"/>
          <w:color w:val="000000"/>
        </w:rPr>
      </w:pPr>
      <w:r w:rsidRPr="00A278B1">
        <w:rPr>
          <w:rFonts w:ascii="Arial" w:hAnsi="Arial" w:cs="Arial"/>
          <w:noProof/>
          <w:color w:val="000000"/>
        </w:rPr>
        <w:drawing>
          <wp:inline distT="0" distB="0" distL="0" distR="0" wp14:anchorId="7B6AE6F4" wp14:editId="1D8F2A67">
            <wp:extent cx="4848225" cy="3428078"/>
            <wp:effectExtent l="0" t="0" r="0" b="0"/>
            <wp:docPr id="3" name="Imagem 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Map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6893" cy="3434207"/>
                    </a:xfrm>
                    <a:prstGeom prst="rect">
                      <a:avLst/>
                    </a:prstGeom>
                  </pic:spPr>
                </pic:pic>
              </a:graphicData>
            </a:graphic>
          </wp:inline>
        </w:drawing>
      </w:r>
    </w:p>
    <w:p w14:paraId="37C5B1F5" w14:textId="6A38BEB3" w:rsidR="00F9288D" w:rsidRPr="00A278B1" w:rsidRDefault="00F9288D" w:rsidP="00F9288D">
      <w:pPr>
        <w:spacing w:before="200" w:after="200" w:line="276" w:lineRule="auto"/>
        <w:jc w:val="center"/>
        <w:rPr>
          <w:rFonts w:ascii="Arial" w:eastAsia="Times New Roman" w:hAnsi="Arial" w:cs="Arial"/>
          <w:color w:val="000000"/>
          <w:lang w:eastAsia="pt-BR"/>
        </w:rPr>
      </w:pPr>
      <w:r w:rsidRPr="00A278B1">
        <w:rPr>
          <w:rFonts w:ascii="Arial" w:hAnsi="Arial" w:cs="Arial"/>
          <w:color w:val="000000"/>
        </w:rPr>
        <w:t>Figura 5: Mapa de Inclusão/Exclusão Social – 2010 (IEX-D15)</w:t>
      </w:r>
    </w:p>
    <w:p w14:paraId="3EA414FB" w14:textId="1825786D" w:rsidR="00F9288D" w:rsidRPr="00A278B1" w:rsidRDefault="004C7516" w:rsidP="00B5493E">
      <w:pPr>
        <w:spacing w:before="200" w:after="200" w:line="276" w:lineRule="auto"/>
        <w:jc w:val="center"/>
        <w:rPr>
          <w:rFonts w:ascii="Arial" w:eastAsia="Times New Roman" w:hAnsi="Arial" w:cs="Arial"/>
          <w:color w:val="000000"/>
          <w:lang w:eastAsia="pt-BR"/>
        </w:rPr>
      </w:pPr>
      <w:r w:rsidRPr="00A278B1">
        <w:rPr>
          <w:rFonts w:ascii="Arial" w:hAnsi="Arial" w:cs="Arial"/>
          <w:noProof/>
          <w:color w:val="000000"/>
        </w:rPr>
        <w:drawing>
          <wp:inline distT="0" distB="0" distL="0" distR="0" wp14:anchorId="7089AC03" wp14:editId="16E2F6A7">
            <wp:extent cx="4856893" cy="343409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6893" cy="3434097"/>
                    </a:xfrm>
                    <a:prstGeom prst="rect">
                      <a:avLst/>
                    </a:prstGeom>
                  </pic:spPr>
                </pic:pic>
              </a:graphicData>
            </a:graphic>
          </wp:inline>
        </w:drawing>
      </w:r>
    </w:p>
    <w:p w14:paraId="0C87624B" w14:textId="0C5751F7" w:rsidR="002E78A7" w:rsidRPr="00A278B1" w:rsidRDefault="00245B11" w:rsidP="00EC2E0F">
      <w:pPr>
        <w:spacing w:before="200" w:after="200" w:line="276" w:lineRule="auto"/>
        <w:jc w:val="both"/>
        <w:rPr>
          <w:rFonts w:ascii="Arial" w:eastAsia="Times New Roman" w:hAnsi="Arial" w:cs="Arial"/>
          <w:lang w:eastAsia="pt-BR"/>
        </w:rPr>
      </w:pPr>
      <w:r w:rsidRPr="00A278B1">
        <w:rPr>
          <w:rFonts w:ascii="Arial" w:eastAsia="Times New Roman" w:hAnsi="Arial" w:cs="Arial"/>
          <w:color w:val="000000"/>
          <w:lang w:eastAsia="pt-BR"/>
        </w:rPr>
        <w:lastRenderedPageBreak/>
        <w:tab/>
      </w:r>
    </w:p>
    <w:p w14:paraId="68180D44" w14:textId="046EA56C" w:rsidR="002E78A7" w:rsidRPr="00A278B1" w:rsidRDefault="002E78A7" w:rsidP="00EC2E0F">
      <w:pPr>
        <w:spacing w:before="240" w:after="240" w:line="276" w:lineRule="auto"/>
        <w:jc w:val="both"/>
        <w:rPr>
          <w:rFonts w:ascii="Arial" w:eastAsia="Times New Roman" w:hAnsi="Arial" w:cs="Arial"/>
          <w:color w:val="000000"/>
          <w:lang w:eastAsia="pt-BR"/>
        </w:rPr>
      </w:pPr>
      <w:r w:rsidRPr="00A278B1">
        <w:rPr>
          <w:rFonts w:ascii="Arial" w:eastAsia="Times New Roman" w:hAnsi="Arial" w:cs="Arial"/>
          <w:color w:val="000000"/>
          <w:lang w:eastAsia="pt-BR"/>
        </w:rPr>
        <w:t> </w:t>
      </w:r>
      <w:r w:rsidRPr="00A278B1">
        <w:rPr>
          <w:rFonts w:ascii="Arial" w:eastAsia="Times New Roman" w:hAnsi="Arial" w:cs="Arial"/>
          <w:b/>
          <w:bCs/>
          <w:color w:val="000000"/>
          <w:lang w:eastAsia="pt-BR"/>
        </w:rPr>
        <w:t>Resultados</w:t>
      </w:r>
    </w:p>
    <w:p w14:paraId="7DC1CF74" w14:textId="5B430864" w:rsidR="002E78A7" w:rsidRPr="00A278B1" w:rsidRDefault="00330D42" w:rsidP="00330D42">
      <w:pPr>
        <w:spacing w:before="240" w:after="0" w:line="276" w:lineRule="auto"/>
        <w:jc w:val="both"/>
        <w:rPr>
          <w:rFonts w:ascii="Arial" w:eastAsia="Times New Roman" w:hAnsi="Arial" w:cs="Arial"/>
          <w:lang w:eastAsia="pt-BR"/>
        </w:rPr>
      </w:pPr>
      <w:r w:rsidRPr="00A278B1">
        <w:rPr>
          <w:rFonts w:ascii="Arial" w:eastAsia="Times New Roman" w:hAnsi="Arial" w:cs="Arial"/>
          <w:b/>
          <w:bCs/>
          <w:color w:val="000000"/>
          <w:lang w:eastAsia="pt-BR"/>
        </w:rPr>
        <w:t>Incidência e mortalidade por Covid-19 conforme o IEX-D15</w:t>
      </w:r>
    </w:p>
    <w:p w14:paraId="0DA460CB" w14:textId="1C456BF1" w:rsidR="00245B11" w:rsidRPr="00A278B1" w:rsidRDefault="002E78A7" w:rsidP="00330D42">
      <w:pPr>
        <w:spacing w:before="240" w:after="0" w:line="276" w:lineRule="auto"/>
        <w:ind w:firstLine="720"/>
        <w:jc w:val="both"/>
        <w:rPr>
          <w:rFonts w:ascii="Arial" w:eastAsia="Times New Roman" w:hAnsi="Arial" w:cs="Arial"/>
          <w:color w:val="000000"/>
          <w:lang w:eastAsia="pt-BR"/>
        </w:rPr>
      </w:pPr>
      <w:r w:rsidRPr="00A278B1">
        <w:rPr>
          <w:rFonts w:ascii="Arial" w:eastAsia="Times New Roman" w:hAnsi="Arial" w:cs="Arial"/>
          <w:color w:val="000000"/>
          <w:lang w:eastAsia="pt-BR"/>
        </w:rPr>
        <w:t xml:space="preserve">Ao </w:t>
      </w:r>
      <w:r w:rsidR="005B16AE" w:rsidRPr="00A278B1">
        <w:rPr>
          <w:rFonts w:ascii="Arial" w:eastAsia="Times New Roman" w:hAnsi="Arial" w:cs="Arial"/>
          <w:color w:val="000000"/>
          <w:lang w:eastAsia="pt-BR"/>
        </w:rPr>
        <w:t>analisar a</w:t>
      </w:r>
      <w:r w:rsidR="00330D42" w:rsidRPr="00A278B1">
        <w:rPr>
          <w:rFonts w:ascii="Arial" w:eastAsia="Times New Roman" w:hAnsi="Arial" w:cs="Arial"/>
          <w:color w:val="000000"/>
          <w:lang w:eastAsia="pt-BR"/>
        </w:rPr>
        <w:t xml:space="preserve"> ocorrência de </w:t>
      </w:r>
      <w:r w:rsidRPr="00A278B1">
        <w:rPr>
          <w:rFonts w:ascii="Arial" w:eastAsia="Times New Roman" w:hAnsi="Arial" w:cs="Arial"/>
          <w:color w:val="000000"/>
          <w:lang w:eastAsia="pt-BR"/>
        </w:rPr>
        <w:t>casos e óbitos por COVID-19</w:t>
      </w:r>
      <w:r w:rsidR="00330D42" w:rsidRPr="00A278B1">
        <w:rPr>
          <w:rFonts w:ascii="Arial" w:eastAsia="Times New Roman" w:hAnsi="Arial" w:cs="Arial"/>
          <w:color w:val="000000"/>
          <w:lang w:eastAsia="pt-BR"/>
        </w:rPr>
        <w:t xml:space="preserve"> a partir do indicador de exclusão construído a partir da técnica da dispersão,</w:t>
      </w:r>
      <w:r w:rsidRPr="00A278B1">
        <w:rPr>
          <w:rFonts w:ascii="Arial" w:eastAsia="Times New Roman" w:hAnsi="Arial" w:cs="Arial"/>
          <w:color w:val="000000"/>
          <w:lang w:eastAsia="pt-BR"/>
        </w:rPr>
        <w:t xml:space="preserve"> </w:t>
      </w:r>
      <w:r w:rsidR="00330D42" w:rsidRPr="00A278B1">
        <w:rPr>
          <w:rFonts w:ascii="Arial" w:eastAsia="Times New Roman" w:hAnsi="Arial" w:cs="Arial"/>
          <w:color w:val="000000"/>
          <w:lang w:eastAsia="pt-BR"/>
        </w:rPr>
        <w:t xml:space="preserve">verificou-se que </w:t>
      </w:r>
      <w:r w:rsidRPr="00A278B1">
        <w:rPr>
          <w:rFonts w:ascii="Arial" w:eastAsia="Times New Roman" w:hAnsi="Arial" w:cs="Arial"/>
          <w:color w:val="000000"/>
          <w:lang w:eastAsia="pt-BR"/>
        </w:rPr>
        <w:t xml:space="preserve">os setores de baixa exclusão que representam 88,48% dos setores responderam por 89,21% dos casos e por 90,43% dos óbitos avaliados neste período. </w:t>
      </w:r>
      <w:r w:rsidR="00330D42" w:rsidRPr="00A278B1">
        <w:rPr>
          <w:rFonts w:ascii="Arial" w:eastAsia="Times New Roman" w:hAnsi="Arial" w:cs="Arial"/>
          <w:color w:val="000000"/>
          <w:lang w:eastAsia="pt-BR"/>
        </w:rPr>
        <w:t xml:space="preserve">Por outro lado, </w:t>
      </w:r>
      <w:r w:rsidRPr="00A278B1">
        <w:rPr>
          <w:rFonts w:ascii="Arial" w:eastAsia="Times New Roman" w:hAnsi="Arial" w:cs="Arial"/>
          <w:color w:val="000000"/>
          <w:lang w:eastAsia="pt-BR"/>
        </w:rPr>
        <w:t xml:space="preserve">ao avaliar o impacto dos casos e óbitos de covid-19 nas populações residentes nos setores censitários de Maringá, </w:t>
      </w:r>
      <w:r w:rsidR="00330D42" w:rsidRPr="00A278B1">
        <w:rPr>
          <w:rFonts w:ascii="Arial" w:eastAsia="Times New Roman" w:hAnsi="Arial" w:cs="Arial"/>
          <w:color w:val="000000"/>
          <w:lang w:eastAsia="pt-BR"/>
        </w:rPr>
        <w:t xml:space="preserve">foi </w:t>
      </w:r>
      <w:r w:rsidRPr="00A278B1">
        <w:rPr>
          <w:rFonts w:ascii="Arial" w:eastAsia="Times New Roman" w:hAnsi="Arial" w:cs="Arial"/>
          <w:color w:val="000000"/>
          <w:lang w:eastAsia="pt-BR"/>
        </w:rPr>
        <w:t xml:space="preserve">possível </w:t>
      </w:r>
      <w:r w:rsidR="00330D42" w:rsidRPr="00A278B1">
        <w:rPr>
          <w:rFonts w:ascii="Arial" w:eastAsia="Times New Roman" w:hAnsi="Arial" w:cs="Arial"/>
          <w:color w:val="000000"/>
          <w:lang w:eastAsia="pt-BR"/>
        </w:rPr>
        <w:t xml:space="preserve">constatar </w:t>
      </w:r>
      <w:r w:rsidRPr="00A278B1">
        <w:rPr>
          <w:rFonts w:ascii="Arial" w:eastAsia="Times New Roman" w:hAnsi="Arial" w:cs="Arial"/>
          <w:color w:val="000000"/>
          <w:lang w:eastAsia="pt-BR"/>
        </w:rPr>
        <w:t>que o impacto foi maior nos setores que apresentaram alta exclusão social, mesmo representando o menor percentual de setores avaliados e o menor percentual de população da cidade.</w:t>
      </w:r>
      <w:r w:rsidR="00330D42" w:rsidRPr="00A278B1">
        <w:rPr>
          <w:rFonts w:ascii="Arial" w:eastAsia="Times New Roman" w:hAnsi="Arial" w:cs="Arial"/>
          <w:color w:val="000000"/>
          <w:lang w:eastAsia="pt-BR"/>
        </w:rPr>
        <w:t xml:space="preserve"> Enquanto nos setores classificados como de “inclusão social”, “Baixa Exclusão Social” e “Média exclusão social” tiveram taxas de incidência variando de 756,48 a 1229,14 por cada 10.000 habitantes e taxa de mortalidade de 8,23 a 20,65, também por cada 10.000, nos setores de “Alta exclusão social” essas taxas foram respectivamente de 3877,55 e 102,04. Vê-se, portanto, que a taxa de incidência, nas áreas de exclusão social, chega a ser mais de três vezes </w:t>
      </w:r>
      <w:r w:rsidR="00AD1A1C" w:rsidRPr="00A278B1">
        <w:rPr>
          <w:rFonts w:ascii="Arial" w:eastAsia="Times New Roman" w:hAnsi="Arial" w:cs="Arial"/>
          <w:color w:val="000000"/>
          <w:lang w:eastAsia="pt-BR"/>
        </w:rPr>
        <w:t>maior</w:t>
      </w:r>
      <w:r w:rsidR="00330D42" w:rsidRPr="00A278B1">
        <w:rPr>
          <w:rFonts w:ascii="Arial" w:eastAsia="Times New Roman" w:hAnsi="Arial" w:cs="Arial"/>
          <w:color w:val="000000"/>
          <w:lang w:eastAsia="pt-BR"/>
        </w:rPr>
        <w:t xml:space="preserve">, enquanto a taxa de mortalidade, cinco vezes. </w:t>
      </w:r>
    </w:p>
    <w:p w14:paraId="68857A33" w14:textId="33A5780C" w:rsidR="00BB2DEE" w:rsidRPr="00BB2DEE" w:rsidRDefault="002E78A7" w:rsidP="00BB2DEE">
      <w:pPr>
        <w:spacing w:after="0" w:line="276" w:lineRule="auto"/>
        <w:ind w:firstLine="720"/>
        <w:jc w:val="center"/>
        <w:rPr>
          <w:rFonts w:ascii="Arial" w:eastAsia="Times New Roman" w:hAnsi="Arial" w:cs="Arial"/>
          <w:b/>
          <w:bCs/>
          <w:color w:val="000000"/>
          <w:lang w:eastAsia="pt-BR"/>
        </w:rPr>
      </w:pPr>
      <w:r w:rsidRPr="00A278B1">
        <w:rPr>
          <w:rFonts w:ascii="Arial" w:eastAsia="Times New Roman" w:hAnsi="Arial" w:cs="Arial"/>
          <w:sz w:val="24"/>
          <w:szCs w:val="24"/>
          <w:lang w:eastAsia="pt-BR"/>
        </w:rPr>
        <w:br/>
      </w:r>
      <w:r w:rsidR="00AD1A1C" w:rsidRPr="00A278B1">
        <w:rPr>
          <w:rFonts w:ascii="Arial" w:eastAsia="Times New Roman" w:hAnsi="Arial" w:cs="Arial"/>
          <w:b/>
          <w:bCs/>
          <w:color w:val="000000"/>
          <w:lang w:eastAsia="pt-BR"/>
        </w:rPr>
        <w:t>Tabela 1:</w:t>
      </w:r>
      <w:r w:rsidR="00D9176E" w:rsidRPr="00A278B1">
        <w:rPr>
          <w:rFonts w:ascii="Arial" w:eastAsia="Times New Roman" w:hAnsi="Arial" w:cs="Arial"/>
          <w:b/>
          <w:bCs/>
          <w:color w:val="000000"/>
          <w:lang w:eastAsia="pt-BR"/>
        </w:rPr>
        <w:t xml:space="preserve"> </w:t>
      </w:r>
      <w:r w:rsidR="00215D27" w:rsidRPr="00A278B1">
        <w:rPr>
          <w:rFonts w:ascii="Arial" w:eastAsia="Times New Roman" w:hAnsi="Arial" w:cs="Arial"/>
          <w:b/>
          <w:bCs/>
          <w:color w:val="000000"/>
          <w:lang w:eastAsia="pt-BR"/>
        </w:rPr>
        <w:t>Representatividade das classes de exclusão/inclusão conforme o IEX-D15</w:t>
      </w:r>
    </w:p>
    <w:tbl>
      <w:tblPr>
        <w:tblW w:w="0" w:type="auto"/>
        <w:tblBorders>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1413"/>
        <w:gridCol w:w="1134"/>
        <w:gridCol w:w="1274"/>
        <w:gridCol w:w="1134"/>
        <w:gridCol w:w="1134"/>
        <w:gridCol w:w="1133"/>
        <w:gridCol w:w="1273"/>
      </w:tblGrid>
      <w:tr w:rsidR="00953193" w:rsidRPr="00A278B1" w14:paraId="46829DC6" w14:textId="77777777" w:rsidTr="00135FF0">
        <w:trPr>
          <w:trHeight w:val="510"/>
        </w:trPr>
        <w:tc>
          <w:tcPr>
            <w:tcW w:w="1418" w:type="dxa"/>
            <w:tcBorders>
              <w:top w:val="single" w:sz="4" w:space="0" w:color="auto"/>
              <w:left w:val="single" w:sz="4" w:space="0" w:color="auto"/>
              <w:bottom w:val="single" w:sz="12" w:space="0" w:color="auto"/>
            </w:tcBorders>
            <w:shd w:val="clear" w:color="auto" w:fill="F2F2F2" w:themeFill="background1" w:themeFillShade="F2"/>
            <w:tcMar>
              <w:top w:w="40" w:type="dxa"/>
              <w:left w:w="40" w:type="dxa"/>
              <w:bottom w:w="40" w:type="dxa"/>
              <w:right w:w="40" w:type="dxa"/>
            </w:tcMar>
            <w:vAlign w:val="center"/>
            <w:hideMark/>
          </w:tcPr>
          <w:p w14:paraId="67B4556C" w14:textId="77777777" w:rsidR="002E78A7" w:rsidRPr="00A278B1" w:rsidRDefault="002E78A7" w:rsidP="00D9176E">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IEX-D15</w:t>
            </w:r>
          </w:p>
        </w:tc>
        <w:tc>
          <w:tcPr>
            <w:tcW w:w="1134" w:type="dxa"/>
            <w:tcBorders>
              <w:top w:val="single" w:sz="4" w:space="0" w:color="auto"/>
              <w:bottom w:val="single" w:sz="12" w:space="0" w:color="auto"/>
            </w:tcBorders>
            <w:shd w:val="clear" w:color="auto" w:fill="F2F2F2" w:themeFill="background1" w:themeFillShade="F2"/>
            <w:tcMar>
              <w:top w:w="40" w:type="dxa"/>
              <w:left w:w="40" w:type="dxa"/>
              <w:bottom w:w="40" w:type="dxa"/>
              <w:right w:w="40" w:type="dxa"/>
            </w:tcMar>
            <w:vAlign w:val="center"/>
            <w:hideMark/>
          </w:tcPr>
          <w:p w14:paraId="0C3E0DBE" w14:textId="77777777" w:rsidR="002E78A7" w:rsidRPr="00A278B1" w:rsidRDefault="002E78A7" w:rsidP="00D9176E">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Percentual de setores</w:t>
            </w:r>
          </w:p>
        </w:tc>
        <w:tc>
          <w:tcPr>
            <w:tcW w:w="1276" w:type="dxa"/>
            <w:tcBorders>
              <w:top w:val="single" w:sz="4" w:space="0" w:color="auto"/>
              <w:bottom w:val="single" w:sz="12" w:space="0" w:color="auto"/>
            </w:tcBorders>
            <w:shd w:val="clear" w:color="auto" w:fill="F2F2F2" w:themeFill="background1" w:themeFillShade="F2"/>
            <w:tcMar>
              <w:top w:w="40" w:type="dxa"/>
              <w:left w:w="40" w:type="dxa"/>
              <w:bottom w:w="40" w:type="dxa"/>
              <w:right w:w="40" w:type="dxa"/>
            </w:tcMar>
            <w:vAlign w:val="center"/>
            <w:hideMark/>
          </w:tcPr>
          <w:p w14:paraId="43A1EF04" w14:textId="77777777" w:rsidR="002E78A7" w:rsidRPr="00A278B1" w:rsidRDefault="002E78A7" w:rsidP="00D9176E">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Percentual por população</w:t>
            </w:r>
          </w:p>
        </w:tc>
        <w:tc>
          <w:tcPr>
            <w:tcW w:w="1134" w:type="dxa"/>
            <w:tcBorders>
              <w:top w:val="single" w:sz="4" w:space="0" w:color="auto"/>
              <w:bottom w:val="single" w:sz="12" w:space="0" w:color="auto"/>
            </w:tcBorders>
            <w:shd w:val="clear" w:color="auto" w:fill="F2F2F2" w:themeFill="background1" w:themeFillShade="F2"/>
            <w:tcMar>
              <w:top w:w="40" w:type="dxa"/>
              <w:left w:w="40" w:type="dxa"/>
              <w:bottom w:w="40" w:type="dxa"/>
              <w:right w:w="40" w:type="dxa"/>
            </w:tcMar>
            <w:vAlign w:val="center"/>
            <w:hideMark/>
          </w:tcPr>
          <w:p w14:paraId="365B40C0" w14:textId="77777777" w:rsidR="002E78A7" w:rsidRPr="00A278B1" w:rsidRDefault="002E78A7" w:rsidP="00D9176E">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Percentual por casos</w:t>
            </w:r>
          </w:p>
        </w:tc>
        <w:tc>
          <w:tcPr>
            <w:tcW w:w="1134" w:type="dxa"/>
            <w:tcBorders>
              <w:top w:val="single" w:sz="4" w:space="0" w:color="auto"/>
              <w:bottom w:val="single" w:sz="12" w:space="0" w:color="auto"/>
            </w:tcBorders>
            <w:shd w:val="clear" w:color="auto" w:fill="F2F2F2" w:themeFill="background1" w:themeFillShade="F2"/>
            <w:tcMar>
              <w:top w:w="40" w:type="dxa"/>
              <w:left w:w="40" w:type="dxa"/>
              <w:bottom w:w="40" w:type="dxa"/>
              <w:right w:w="40" w:type="dxa"/>
            </w:tcMar>
            <w:vAlign w:val="center"/>
            <w:hideMark/>
          </w:tcPr>
          <w:p w14:paraId="65CFC67C" w14:textId="77777777" w:rsidR="002E78A7" w:rsidRPr="00A278B1" w:rsidRDefault="002E78A7" w:rsidP="00D9176E">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Percentual por óbitos</w:t>
            </w:r>
          </w:p>
        </w:tc>
        <w:tc>
          <w:tcPr>
            <w:tcW w:w="1134" w:type="dxa"/>
            <w:tcBorders>
              <w:top w:val="single" w:sz="4" w:space="0" w:color="auto"/>
              <w:bottom w:val="single" w:sz="12" w:space="0" w:color="auto"/>
            </w:tcBorders>
            <w:shd w:val="clear" w:color="auto" w:fill="F2F2F2" w:themeFill="background1" w:themeFillShade="F2"/>
            <w:tcMar>
              <w:top w:w="40" w:type="dxa"/>
              <w:left w:w="40" w:type="dxa"/>
              <w:bottom w:w="40" w:type="dxa"/>
              <w:right w:w="40" w:type="dxa"/>
            </w:tcMar>
            <w:vAlign w:val="center"/>
            <w:hideMark/>
          </w:tcPr>
          <w:p w14:paraId="6EFE80D9" w14:textId="77777777" w:rsidR="002E78A7" w:rsidRPr="00A278B1" w:rsidRDefault="002E78A7" w:rsidP="00D9176E">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Taxa de incidência por 10.000 hab.</w:t>
            </w:r>
          </w:p>
        </w:tc>
        <w:tc>
          <w:tcPr>
            <w:tcW w:w="1274" w:type="dxa"/>
            <w:tcBorders>
              <w:top w:val="single" w:sz="4" w:space="0" w:color="auto"/>
              <w:bottom w:val="single" w:sz="12" w:space="0" w:color="auto"/>
              <w:right w:val="single" w:sz="4" w:space="0" w:color="auto"/>
            </w:tcBorders>
            <w:shd w:val="clear" w:color="auto" w:fill="F2F2F2" w:themeFill="background1" w:themeFillShade="F2"/>
            <w:tcMar>
              <w:top w:w="40" w:type="dxa"/>
              <w:left w:w="40" w:type="dxa"/>
              <w:bottom w:w="40" w:type="dxa"/>
              <w:right w:w="40" w:type="dxa"/>
            </w:tcMar>
            <w:vAlign w:val="center"/>
            <w:hideMark/>
          </w:tcPr>
          <w:p w14:paraId="34A20410" w14:textId="77777777" w:rsidR="002E78A7" w:rsidRPr="00A278B1" w:rsidRDefault="002E78A7" w:rsidP="00D9176E">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Taxa de mortalidade por 10.000 hab.</w:t>
            </w:r>
          </w:p>
        </w:tc>
      </w:tr>
      <w:tr w:rsidR="00953193" w:rsidRPr="00A278B1" w14:paraId="7537DBAF" w14:textId="77777777" w:rsidTr="00135FF0">
        <w:trPr>
          <w:trHeight w:val="315"/>
        </w:trPr>
        <w:tc>
          <w:tcPr>
            <w:tcW w:w="1418" w:type="dxa"/>
            <w:tcBorders>
              <w:top w:val="single" w:sz="12" w:space="0" w:color="auto"/>
              <w:left w:val="single" w:sz="4" w:space="0" w:color="auto"/>
            </w:tcBorders>
            <w:shd w:val="clear" w:color="auto" w:fill="FFFFFF"/>
            <w:tcMar>
              <w:top w:w="40" w:type="dxa"/>
              <w:left w:w="40" w:type="dxa"/>
              <w:bottom w:w="40" w:type="dxa"/>
              <w:right w:w="40" w:type="dxa"/>
            </w:tcMar>
            <w:vAlign w:val="center"/>
            <w:hideMark/>
          </w:tcPr>
          <w:p w14:paraId="1BEB851B"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Inclusão Social</w:t>
            </w:r>
          </w:p>
        </w:tc>
        <w:tc>
          <w:tcPr>
            <w:tcW w:w="1134" w:type="dxa"/>
            <w:tcBorders>
              <w:top w:val="single" w:sz="12" w:space="0" w:color="auto"/>
            </w:tcBorders>
            <w:shd w:val="clear" w:color="auto" w:fill="FFFFFF"/>
            <w:tcMar>
              <w:top w:w="40" w:type="dxa"/>
              <w:left w:w="40" w:type="dxa"/>
              <w:bottom w:w="40" w:type="dxa"/>
              <w:right w:w="40" w:type="dxa"/>
            </w:tcMar>
            <w:vAlign w:val="center"/>
            <w:hideMark/>
          </w:tcPr>
          <w:p w14:paraId="355E1DEC"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6,53%</w:t>
            </w:r>
          </w:p>
        </w:tc>
        <w:tc>
          <w:tcPr>
            <w:tcW w:w="1276" w:type="dxa"/>
            <w:tcBorders>
              <w:top w:val="single" w:sz="12" w:space="0" w:color="auto"/>
            </w:tcBorders>
            <w:shd w:val="clear" w:color="auto" w:fill="FFFFFF"/>
            <w:tcMar>
              <w:top w:w="40" w:type="dxa"/>
              <w:left w:w="40" w:type="dxa"/>
              <w:bottom w:w="40" w:type="dxa"/>
              <w:right w:w="40" w:type="dxa"/>
            </w:tcMar>
            <w:vAlign w:val="center"/>
            <w:hideMark/>
          </w:tcPr>
          <w:p w14:paraId="76AEBAA7"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5,12%</w:t>
            </w:r>
          </w:p>
        </w:tc>
        <w:tc>
          <w:tcPr>
            <w:tcW w:w="1134" w:type="dxa"/>
            <w:tcBorders>
              <w:top w:val="single" w:sz="12" w:space="0" w:color="auto"/>
            </w:tcBorders>
            <w:shd w:val="clear" w:color="auto" w:fill="FFFFFF"/>
            <w:tcMar>
              <w:top w:w="40" w:type="dxa"/>
              <w:left w:w="40" w:type="dxa"/>
              <w:bottom w:w="40" w:type="dxa"/>
              <w:right w:w="40" w:type="dxa"/>
            </w:tcMar>
            <w:vAlign w:val="center"/>
            <w:hideMark/>
          </w:tcPr>
          <w:p w14:paraId="283B834B"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6,27%</w:t>
            </w:r>
          </w:p>
        </w:tc>
        <w:tc>
          <w:tcPr>
            <w:tcW w:w="1134" w:type="dxa"/>
            <w:tcBorders>
              <w:top w:val="single" w:sz="12" w:space="0" w:color="auto"/>
            </w:tcBorders>
            <w:shd w:val="clear" w:color="auto" w:fill="FFFFFF"/>
            <w:tcMar>
              <w:top w:w="40" w:type="dxa"/>
              <w:left w:w="40" w:type="dxa"/>
              <w:bottom w:w="40" w:type="dxa"/>
              <w:right w:w="40" w:type="dxa"/>
            </w:tcMar>
            <w:vAlign w:val="center"/>
            <w:hideMark/>
          </w:tcPr>
          <w:p w14:paraId="0E289A02"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6,38%</w:t>
            </w:r>
          </w:p>
        </w:tc>
        <w:tc>
          <w:tcPr>
            <w:tcW w:w="1134" w:type="dxa"/>
            <w:tcBorders>
              <w:top w:val="single" w:sz="12" w:space="0" w:color="auto"/>
            </w:tcBorders>
            <w:shd w:val="clear" w:color="auto" w:fill="FFFFFF"/>
            <w:tcMar>
              <w:top w:w="40" w:type="dxa"/>
              <w:left w:w="40" w:type="dxa"/>
              <w:bottom w:w="40" w:type="dxa"/>
              <w:right w:w="40" w:type="dxa"/>
            </w:tcMar>
            <w:vAlign w:val="center"/>
            <w:hideMark/>
          </w:tcPr>
          <w:p w14:paraId="46A8F653"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1229,14</w:t>
            </w:r>
          </w:p>
        </w:tc>
        <w:tc>
          <w:tcPr>
            <w:tcW w:w="1274" w:type="dxa"/>
            <w:tcBorders>
              <w:top w:val="single" w:sz="12" w:space="0" w:color="auto"/>
              <w:right w:val="single" w:sz="4" w:space="0" w:color="auto"/>
            </w:tcBorders>
            <w:shd w:val="clear" w:color="auto" w:fill="FFFFFF"/>
            <w:tcMar>
              <w:top w:w="40" w:type="dxa"/>
              <w:left w:w="40" w:type="dxa"/>
              <w:bottom w:w="40" w:type="dxa"/>
              <w:right w:w="40" w:type="dxa"/>
            </w:tcMar>
            <w:vAlign w:val="center"/>
            <w:hideMark/>
          </w:tcPr>
          <w:p w14:paraId="5AFE9F73"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20,65</w:t>
            </w:r>
          </w:p>
        </w:tc>
      </w:tr>
      <w:tr w:rsidR="00953193" w:rsidRPr="00A278B1" w14:paraId="4366CBB7" w14:textId="77777777" w:rsidTr="00135FF0">
        <w:trPr>
          <w:trHeight w:val="315"/>
        </w:trPr>
        <w:tc>
          <w:tcPr>
            <w:tcW w:w="1418" w:type="dxa"/>
            <w:tcBorders>
              <w:left w:val="single" w:sz="4" w:space="0" w:color="auto"/>
            </w:tcBorders>
            <w:shd w:val="clear" w:color="auto" w:fill="FFFFFF"/>
            <w:tcMar>
              <w:top w:w="40" w:type="dxa"/>
              <w:left w:w="40" w:type="dxa"/>
              <w:bottom w:w="40" w:type="dxa"/>
              <w:right w:w="40" w:type="dxa"/>
            </w:tcMar>
            <w:vAlign w:val="center"/>
            <w:hideMark/>
          </w:tcPr>
          <w:p w14:paraId="7AF3D1C4"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Baixa Exclusão Social</w:t>
            </w:r>
          </w:p>
        </w:tc>
        <w:tc>
          <w:tcPr>
            <w:tcW w:w="1134" w:type="dxa"/>
            <w:shd w:val="clear" w:color="auto" w:fill="FFFFFF"/>
            <w:tcMar>
              <w:top w:w="40" w:type="dxa"/>
              <w:left w:w="40" w:type="dxa"/>
              <w:bottom w:w="40" w:type="dxa"/>
              <w:right w:w="40" w:type="dxa"/>
            </w:tcMar>
            <w:vAlign w:val="center"/>
            <w:hideMark/>
          </w:tcPr>
          <w:p w14:paraId="76C33C85"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88,48%</w:t>
            </w:r>
          </w:p>
        </w:tc>
        <w:tc>
          <w:tcPr>
            <w:tcW w:w="1276" w:type="dxa"/>
            <w:shd w:val="clear" w:color="auto" w:fill="FFFFFF"/>
            <w:tcMar>
              <w:top w:w="40" w:type="dxa"/>
              <w:left w:w="40" w:type="dxa"/>
              <w:bottom w:w="40" w:type="dxa"/>
              <w:right w:w="40" w:type="dxa"/>
            </w:tcMar>
            <w:vAlign w:val="center"/>
            <w:hideMark/>
          </w:tcPr>
          <w:p w14:paraId="3AF59EF2"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89,12%</w:t>
            </w:r>
          </w:p>
        </w:tc>
        <w:tc>
          <w:tcPr>
            <w:tcW w:w="1134" w:type="dxa"/>
            <w:shd w:val="clear" w:color="auto" w:fill="FFFFFF"/>
            <w:tcMar>
              <w:top w:w="40" w:type="dxa"/>
              <w:left w:w="40" w:type="dxa"/>
              <w:bottom w:w="40" w:type="dxa"/>
              <w:right w:w="40" w:type="dxa"/>
            </w:tcMar>
            <w:vAlign w:val="center"/>
            <w:hideMark/>
          </w:tcPr>
          <w:p w14:paraId="7BDF81A7"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89,21%</w:t>
            </w:r>
          </w:p>
        </w:tc>
        <w:tc>
          <w:tcPr>
            <w:tcW w:w="1134" w:type="dxa"/>
            <w:shd w:val="clear" w:color="auto" w:fill="FFFFFF"/>
            <w:tcMar>
              <w:top w:w="40" w:type="dxa"/>
              <w:left w:w="40" w:type="dxa"/>
              <w:bottom w:w="40" w:type="dxa"/>
              <w:right w:w="40" w:type="dxa"/>
            </w:tcMar>
            <w:vAlign w:val="center"/>
            <w:hideMark/>
          </w:tcPr>
          <w:p w14:paraId="487DD868"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90,43%</w:t>
            </w:r>
          </w:p>
        </w:tc>
        <w:tc>
          <w:tcPr>
            <w:tcW w:w="1134" w:type="dxa"/>
            <w:shd w:val="clear" w:color="auto" w:fill="FFFFFF"/>
            <w:tcMar>
              <w:top w:w="40" w:type="dxa"/>
              <w:left w:w="40" w:type="dxa"/>
              <w:bottom w:w="40" w:type="dxa"/>
              <w:right w:w="40" w:type="dxa"/>
            </w:tcMar>
            <w:vAlign w:val="center"/>
            <w:hideMark/>
          </w:tcPr>
          <w:p w14:paraId="1EE3E79F"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1004,52</w:t>
            </w:r>
          </w:p>
        </w:tc>
        <w:tc>
          <w:tcPr>
            <w:tcW w:w="1274" w:type="dxa"/>
            <w:tcBorders>
              <w:right w:val="single" w:sz="4" w:space="0" w:color="auto"/>
            </w:tcBorders>
            <w:shd w:val="clear" w:color="auto" w:fill="FFFFFF"/>
            <w:tcMar>
              <w:top w:w="40" w:type="dxa"/>
              <w:left w:w="40" w:type="dxa"/>
              <w:bottom w:w="40" w:type="dxa"/>
              <w:right w:w="40" w:type="dxa"/>
            </w:tcMar>
            <w:vAlign w:val="center"/>
            <w:hideMark/>
          </w:tcPr>
          <w:p w14:paraId="2839906F"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16,79</w:t>
            </w:r>
          </w:p>
        </w:tc>
      </w:tr>
      <w:tr w:rsidR="00953193" w:rsidRPr="00A278B1" w14:paraId="0C641800" w14:textId="77777777" w:rsidTr="00135FF0">
        <w:trPr>
          <w:trHeight w:val="315"/>
        </w:trPr>
        <w:tc>
          <w:tcPr>
            <w:tcW w:w="1418" w:type="dxa"/>
            <w:tcBorders>
              <w:left w:val="single" w:sz="4" w:space="0" w:color="auto"/>
            </w:tcBorders>
            <w:shd w:val="clear" w:color="auto" w:fill="FFFFFF"/>
            <w:tcMar>
              <w:top w:w="40" w:type="dxa"/>
              <w:left w:w="40" w:type="dxa"/>
              <w:bottom w:w="40" w:type="dxa"/>
              <w:right w:w="40" w:type="dxa"/>
            </w:tcMar>
            <w:vAlign w:val="center"/>
            <w:hideMark/>
          </w:tcPr>
          <w:p w14:paraId="59A1F9B4"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Média Exclusão Social</w:t>
            </w:r>
          </w:p>
        </w:tc>
        <w:tc>
          <w:tcPr>
            <w:tcW w:w="1134" w:type="dxa"/>
            <w:shd w:val="clear" w:color="auto" w:fill="FFFFFF"/>
            <w:tcMar>
              <w:top w:w="40" w:type="dxa"/>
              <w:left w:w="40" w:type="dxa"/>
              <w:bottom w:w="40" w:type="dxa"/>
              <w:right w:w="40" w:type="dxa"/>
            </w:tcMar>
            <w:vAlign w:val="center"/>
            <w:hideMark/>
          </w:tcPr>
          <w:p w14:paraId="35F56082"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4,61%</w:t>
            </w:r>
          </w:p>
        </w:tc>
        <w:tc>
          <w:tcPr>
            <w:tcW w:w="1276" w:type="dxa"/>
            <w:shd w:val="clear" w:color="auto" w:fill="FFFFFF"/>
            <w:tcMar>
              <w:top w:w="40" w:type="dxa"/>
              <w:left w:w="40" w:type="dxa"/>
              <w:bottom w:w="40" w:type="dxa"/>
              <w:right w:w="40" w:type="dxa"/>
            </w:tcMar>
            <w:vAlign w:val="center"/>
            <w:hideMark/>
          </w:tcPr>
          <w:p w14:paraId="21842735"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5,70%</w:t>
            </w:r>
          </w:p>
        </w:tc>
        <w:tc>
          <w:tcPr>
            <w:tcW w:w="1134" w:type="dxa"/>
            <w:shd w:val="clear" w:color="auto" w:fill="FFFFFF"/>
            <w:tcMar>
              <w:top w:w="40" w:type="dxa"/>
              <w:left w:w="40" w:type="dxa"/>
              <w:bottom w:w="40" w:type="dxa"/>
              <w:right w:w="40" w:type="dxa"/>
            </w:tcMar>
            <w:vAlign w:val="center"/>
            <w:hideMark/>
          </w:tcPr>
          <w:p w14:paraId="65E0D6C5"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4,30%</w:t>
            </w:r>
          </w:p>
        </w:tc>
        <w:tc>
          <w:tcPr>
            <w:tcW w:w="1134" w:type="dxa"/>
            <w:shd w:val="clear" w:color="auto" w:fill="FFFFFF"/>
            <w:tcMar>
              <w:top w:w="40" w:type="dxa"/>
              <w:left w:w="40" w:type="dxa"/>
              <w:bottom w:w="40" w:type="dxa"/>
              <w:right w:w="40" w:type="dxa"/>
            </w:tcMar>
            <w:vAlign w:val="center"/>
            <w:hideMark/>
          </w:tcPr>
          <w:p w14:paraId="7D9C3E72"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2,84%</w:t>
            </w:r>
          </w:p>
        </w:tc>
        <w:tc>
          <w:tcPr>
            <w:tcW w:w="1134" w:type="dxa"/>
            <w:shd w:val="clear" w:color="auto" w:fill="FFFFFF"/>
            <w:tcMar>
              <w:top w:w="40" w:type="dxa"/>
              <w:left w:w="40" w:type="dxa"/>
              <w:bottom w:w="40" w:type="dxa"/>
              <w:right w:w="40" w:type="dxa"/>
            </w:tcMar>
            <w:vAlign w:val="center"/>
            <w:hideMark/>
          </w:tcPr>
          <w:p w14:paraId="6E14976B"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756,48</w:t>
            </w:r>
          </w:p>
        </w:tc>
        <w:tc>
          <w:tcPr>
            <w:tcW w:w="1274" w:type="dxa"/>
            <w:tcBorders>
              <w:right w:val="single" w:sz="4" w:space="0" w:color="auto"/>
            </w:tcBorders>
            <w:shd w:val="clear" w:color="auto" w:fill="FFFFFF"/>
            <w:tcMar>
              <w:top w:w="40" w:type="dxa"/>
              <w:left w:w="40" w:type="dxa"/>
              <w:bottom w:w="40" w:type="dxa"/>
              <w:right w:w="40" w:type="dxa"/>
            </w:tcMar>
            <w:vAlign w:val="center"/>
            <w:hideMark/>
          </w:tcPr>
          <w:p w14:paraId="2701D564"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8,23</w:t>
            </w:r>
          </w:p>
        </w:tc>
      </w:tr>
      <w:tr w:rsidR="00953193" w:rsidRPr="00A278B1" w14:paraId="5C01957A" w14:textId="77777777" w:rsidTr="00135FF0">
        <w:trPr>
          <w:trHeight w:val="315"/>
        </w:trPr>
        <w:tc>
          <w:tcPr>
            <w:tcW w:w="1418" w:type="dxa"/>
            <w:tcBorders>
              <w:left w:val="single" w:sz="4" w:space="0" w:color="auto"/>
              <w:bottom w:val="single" w:sz="4" w:space="0" w:color="auto"/>
            </w:tcBorders>
            <w:shd w:val="clear" w:color="auto" w:fill="FFFFFF"/>
            <w:tcMar>
              <w:top w:w="40" w:type="dxa"/>
              <w:left w:w="40" w:type="dxa"/>
              <w:bottom w:w="40" w:type="dxa"/>
              <w:right w:w="40" w:type="dxa"/>
            </w:tcMar>
            <w:vAlign w:val="center"/>
            <w:hideMark/>
          </w:tcPr>
          <w:p w14:paraId="76F97417"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Alta Exclusão Social</w:t>
            </w:r>
          </w:p>
        </w:tc>
        <w:tc>
          <w:tcPr>
            <w:tcW w:w="1134" w:type="dxa"/>
            <w:tcBorders>
              <w:bottom w:val="single" w:sz="4" w:space="0" w:color="auto"/>
            </w:tcBorders>
            <w:shd w:val="clear" w:color="auto" w:fill="FFFFFF"/>
            <w:tcMar>
              <w:top w:w="40" w:type="dxa"/>
              <w:left w:w="40" w:type="dxa"/>
              <w:bottom w:w="40" w:type="dxa"/>
              <w:right w:w="40" w:type="dxa"/>
            </w:tcMar>
            <w:vAlign w:val="center"/>
            <w:hideMark/>
          </w:tcPr>
          <w:p w14:paraId="5AE78A1E"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0,38%</w:t>
            </w:r>
          </w:p>
        </w:tc>
        <w:tc>
          <w:tcPr>
            <w:tcW w:w="1276" w:type="dxa"/>
            <w:tcBorders>
              <w:bottom w:val="single" w:sz="4" w:space="0" w:color="auto"/>
            </w:tcBorders>
            <w:shd w:val="clear" w:color="auto" w:fill="FFFFFF"/>
            <w:tcMar>
              <w:top w:w="40" w:type="dxa"/>
              <w:left w:w="40" w:type="dxa"/>
              <w:bottom w:w="40" w:type="dxa"/>
              <w:right w:w="40" w:type="dxa"/>
            </w:tcMar>
            <w:vAlign w:val="center"/>
            <w:hideMark/>
          </w:tcPr>
          <w:p w14:paraId="7FAA9329"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0,06%</w:t>
            </w:r>
          </w:p>
        </w:tc>
        <w:tc>
          <w:tcPr>
            <w:tcW w:w="1134" w:type="dxa"/>
            <w:tcBorders>
              <w:bottom w:val="single" w:sz="4" w:space="0" w:color="auto"/>
            </w:tcBorders>
            <w:shd w:val="clear" w:color="auto" w:fill="FFFFFF"/>
            <w:tcMar>
              <w:top w:w="40" w:type="dxa"/>
              <w:left w:w="40" w:type="dxa"/>
              <w:bottom w:w="40" w:type="dxa"/>
              <w:right w:w="40" w:type="dxa"/>
            </w:tcMar>
            <w:vAlign w:val="center"/>
            <w:hideMark/>
          </w:tcPr>
          <w:p w14:paraId="4DDC8C2C"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0,22%</w:t>
            </w:r>
          </w:p>
        </w:tc>
        <w:tc>
          <w:tcPr>
            <w:tcW w:w="1134" w:type="dxa"/>
            <w:tcBorders>
              <w:bottom w:val="single" w:sz="4" w:space="0" w:color="auto"/>
            </w:tcBorders>
            <w:shd w:val="clear" w:color="auto" w:fill="FFFFFF"/>
            <w:tcMar>
              <w:top w:w="40" w:type="dxa"/>
              <w:left w:w="40" w:type="dxa"/>
              <w:bottom w:w="40" w:type="dxa"/>
              <w:right w:w="40" w:type="dxa"/>
            </w:tcMar>
            <w:vAlign w:val="center"/>
            <w:hideMark/>
          </w:tcPr>
          <w:p w14:paraId="20FA4CA0"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0,35%</w:t>
            </w:r>
          </w:p>
        </w:tc>
        <w:tc>
          <w:tcPr>
            <w:tcW w:w="1134" w:type="dxa"/>
            <w:tcBorders>
              <w:bottom w:val="single" w:sz="4" w:space="0" w:color="auto"/>
            </w:tcBorders>
            <w:shd w:val="clear" w:color="auto" w:fill="FFFFFF"/>
            <w:tcMar>
              <w:top w:w="40" w:type="dxa"/>
              <w:left w:w="40" w:type="dxa"/>
              <w:bottom w:w="40" w:type="dxa"/>
              <w:right w:w="40" w:type="dxa"/>
            </w:tcMar>
            <w:vAlign w:val="center"/>
            <w:hideMark/>
          </w:tcPr>
          <w:p w14:paraId="3D5A6B65"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3877,55</w:t>
            </w:r>
          </w:p>
        </w:tc>
        <w:tc>
          <w:tcPr>
            <w:tcW w:w="1274" w:type="dxa"/>
            <w:tcBorders>
              <w:bottom w:val="single" w:sz="4" w:space="0" w:color="auto"/>
              <w:right w:val="single" w:sz="4" w:space="0" w:color="auto"/>
            </w:tcBorders>
            <w:shd w:val="clear" w:color="auto" w:fill="FFFFFF"/>
            <w:tcMar>
              <w:top w:w="40" w:type="dxa"/>
              <w:left w:w="40" w:type="dxa"/>
              <w:bottom w:w="40" w:type="dxa"/>
              <w:right w:w="40" w:type="dxa"/>
            </w:tcMar>
            <w:vAlign w:val="center"/>
            <w:hideMark/>
          </w:tcPr>
          <w:p w14:paraId="50D6D04A" w14:textId="77777777" w:rsidR="002E78A7" w:rsidRPr="00A278B1" w:rsidRDefault="002E78A7" w:rsidP="00D9176E">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102,04</w:t>
            </w:r>
          </w:p>
        </w:tc>
      </w:tr>
    </w:tbl>
    <w:p w14:paraId="1875123C" w14:textId="752312EC" w:rsidR="00242E56" w:rsidRPr="00A278B1" w:rsidRDefault="009A3279" w:rsidP="002E78A7">
      <w:pPr>
        <w:spacing w:after="0" w:line="240" w:lineRule="auto"/>
        <w:rPr>
          <w:rFonts w:ascii="Arial" w:eastAsia="Times New Roman" w:hAnsi="Arial" w:cs="Arial"/>
          <w:sz w:val="20"/>
          <w:szCs w:val="20"/>
          <w:lang w:eastAsia="pt-BR"/>
        </w:rPr>
      </w:pPr>
      <w:r w:rsidRPr="00A278B1">
        <w:rPr>
          <w:rFonts w:ascii="Arial" w:eastAsia="Times New Roman" w:hAnsi="Arial" w:cs="Arial"/>
          <w:sz w:val="20"/>
          <w:szCs w:val="20"/>
          <w:lang w:eastAsia="pt-BR"/>
        </w:rPr>
        <w:t>Elaboração: Autores</w:t>
      </w:r>
      <w:r w:rsidR="00242E56" w:rsidRPr="00A278B1">
        <w:rPr>
          <w:rFonts w:ascii="Arial" w:eastAsia="Times New Roman" w:hAnsi="Arial" w:cs="Arial"/>
          <w:sz w:val="20"/>
          <w:szCs w:val="20"/>
          <w:lang w:eastAsia="pt-BR"/>
        </w:rPr>
        <w:t>, 2021</w:t>
      </w:r>
    </w:p>
    <w:p w14:paraId="43D0470E" w14:textId="24945E10" w:rsidR="002E78A7" w:rsidRPr="00A278B1" w:rsidRDefault="00D9176E" w:rsidP="002E78A7">
      <w:pPr>
        <w:spacing w:after="0" w:line="240" w:lineRule="auto"/>
        <w:rPr>
          <w:rFonts w:ascii="Arial" w:eastAsia="Times New Roman" w:hAnsi="Arial" w:cs="Arial"/>
          <w:sz w:val="20"/>
          <w:szCs w:val="20"/>
          <w:lang w:eastAsia="pt-BR"/>
        </w:rPr>
      </w:pPr>
      <w:r w:rsidRPr="00A278B1">
        <w:rPr>
          <w:rFonts w:ascii="Arial" w:eastAsia="Times New Roman" w:hAnsi="Arial" w:cs="Arial"/>
          <w:sz w:val="20"/>
          <w:szCs w:val="20"/>
          <w:lang w:eastAsia="pt-BR"/>
        </w:rPr>
        <w:t>Fonte</w:t>
      </w:r>
      <w:r w:rsidR="00E756D3" w:rsidRPr="00A278B1">
        <w:rPr>
          <w:rFonts w:ascii="Arial" w:eastAsia="Times New Roman" w:hAnsi="Arial" w:cs="Arial"/>
          <w:sz w:val="20"/>
          <w:szCs w:val="20"/>
          <w:lang w:eastAsia="pt-BR"/>
        </w:rPr>
        <w:t xml:space="preserve"> de dados</w:t>
      </w:r>
      <w:r w:rsidRPr="00A278B1">
        <w:rPr>
          <w:rFonts w:ascii="Arial" w:eastAsia="Times New Roman" w:hAnsi="Arial" w:cs="Arial"/>
          <w:sz w:val="20"/>
          <w:szCs w:val="20"/>
          <w:lang w:eastAsia="pt-BR"/>
        </w:rPr>
        <w:t xml:space="preserve">: </w:t>
      </w:r>
      <w:r w:rsidR="00E756D3" w:rsidRPr="00A278B1">
        <w:rPr>
          <w:rFonts w:ascii="Arial" w:eastAsia="Times New Roman" w:hAnsi="Arial" w:cs="Arial"/>
          <w:sz w:val="20"/>
          <w:szCs w:val="20"/>
          <w:lang w:eastAsia="pt-BR"/>
        </w:rPr>
        <w:t>Secretaria Municipal de Saúde</w:t>
      </w:r>
      <w:r w:rsidR="009A3279" w:rsidRPr="00A278B1">
        <w:rPr>
          <w:rFonts w:ascii="Arial" w:eastAsia="Times New Roman" w:hAnsi="Arial" w:cs="Arial"/>
          <w:sz w:val="20"/>
          <w:szCs w:val="20"/>
          <w:lang w:eastAsia="pt-BR"/>
        </w:rPr>
        <w:t>, 20</w:t>
      </w:r>
      <w:r w:rsidR="005B16AE" w:rsidRPr="00A278B1">
        <w:rPr>
          <w:rFonts w:ascii="Arial" w:eastAsia="Times New Roman" w:hAnsi="Arial" w:cs="Arial"/>
          <w:sz w:val="20"/>
          <w:szCs w:val="20"/>
          <w:lang w:eastAsia="pt-BR"/>
        </w:rPr>
        <w:t>2</w:t>
      </w:r>
      <w:r w:rsidR="009A3279" w:rsidRPr="00A278B1">
        <w:rPr>
          <w:rFonts w:ascii="Arial" w:eastAsia="Times New Roman" w:hAnsi="Arial" w:cs="Arial"/>
          <w:sz w:val="20"/>
          <w:szCs w:val="20"/>
          <w:lang w:eastAsia="pt-BR"/>
        </w:rPr>
        <w:t>0</w:t>
      </w:r>
      <w:r w:rsidR="00E756D3" w:rsidRPr="00A278B1">
        <w:rPr>
          <w:rFonts w:ascii="Arial" w:eastAsia="Times New Roman" w:hAnsi="Arial" w:cs="Arial"/>
          <w:sz w:val="20"/>
          <w:szCs w:val="20"/>
          <w:lang w:eastAsia="pt-BR"/>
        </w:rPr>
        <w:t xml:space="preserve">; </w:t>
      </w:r>
      <w:r w:rsidR="009A3279" w:rsidRPr="00A278B1">
        <w:rPr>
          <w:rFonts w:ascii="Arial" w:eastAsia="Times New Roman" w:hAnsi="Arial" w:cs="Arial"/>
          <w:sz w:val="20"/>
          <w:szCs w:val="20"/>
          <w:lang w:eastAsia="pt-BR"/>
        </w:rPr>
        <w:t>IBGE; 20</w:t>
      </w:r>
      <w:r w:rsidR="005B16AE" w:rsidRPr="00A278B1">
        <w:rPr>
          <w:rFonts w:ascii="Arial" w:eastAsia="Times New Roman" w:hAnsi="Arial" w:cs="Arial"/>
          <w:sz w:val="20"/>
          <w:szCs w:val="20"/>
          <w:lang w:eastAsia="pt-BR"/>
        </w:rPr>
        <w:t>1</w:t>
      </w:r>
      <w:r w:rsidR="009A3279" w:rsidRPr="00A278B1">
        <w:rPr>
          <w:rFonts w:ascii="Arial" w:eastAsia="Times New Roman" w:hAnsi="Arial" w:cs="Arial"/>
          <w:sz w:val="20"/>
          <w:szCs w:val="20"/>
          <w:lang w:eastAsia="pt-BR"/>
        </w:rPr>
        <w:t>0</w:t>
      </w:r>
      <w:r w:rsidR="00242E56" w:rsidRPr="00A278B1">
        <w:rPr>
          <w:rFonts w:ascii="Arial" w:eastAsia="Times New Roman" w:hAnsi="Arial" w:cs="Arial"/>
          <w:sz w:val="20"/>
          <w:szCs w:val="20"/>
          <w:lang w:eastAsia="pt-BR"/>
        </w:rPr>
        <w:t>;</w:t>
      </w:r>
      <w:r w:rsidR="009A3279" w:rsidRPr="00A278B1">
        <w:rPr>
          <w:rFonts w:ascii="Arial" w:eastAsia="Times New Roman" w:hAnsi="Arial" w:cs="Arial"/>
          <w:sz w:val="20"/>
          <w:szCs w:val="20"/>
          <w:lang w:eastAsia="pt-BR"/>
        </w:rPr>
        <w:t xml:space="preserve"> </w:t>
      </w:r>
      <w:proofErr w:type="spellStart"/>
      <w:r w:rsidR="00E756D3" w:rsidRPr="00A278B1">
        <w:rPr>
          <w:rFonts w:ascii="Arial" w:eastAsia="Times New Roman" w:hAnsi="Arial" w:cs="Arial"/>
          <w:sz w:val="20"/>
          <w:szCs w:val="20"/>
          <w:lang w:eastAsia="pt-BR"/>
        </w:rPr>
        <w:t>Gepag</w:t>
      </w:r>
      <w:proofErr w:type="spellEnd"/>
      <w:r w:rsidR="00E756D3" w:rsidRPr="00A278B1">
        <w:rPr>
          <w:rFonts w:ascii="Arial" w:eastAsia="Times New Roman" w:hAnsi="Arial" w:cs="Arial"/>
          <w:sz w:val="20"/>
          <w:szCs w:val="20"/>
          <w:lang w:eastAsia="pt-BR"/>
        </w:rPr>
        <w:t>/</w:t>
      </w:r>
      <w:proofErr w:type="spellStart"/>
      <w:r w:rsidR="00E756D3" w:rsidRPr="00A278B1">
        <w:rPr>
          <w:rFonts w:ascii="Arial" w:eastAsia="Times New Roman" w:hAnsi="Arial" w:cs="Arial"/>
          <w:sz w:val="20"/>
          <w:szCs w:val="20"/>
          <w:lang w:eastAsia="pt-BR"/>
        </w:rPr>
        <w:t>Uem</w:t>
      </w:r>
      <w:proofErr w:type="spellEnd"/>
      <w:r w:rsidR="009A3279" w:rsidRPr="00A278B1">
        <w:rPr>
          <w:rFonts w:ascii="Arial" w:eastAsia="Times New Roman" w:hAnsi="Arial" w:cs="Arial"/>
          <w:sz w:val="20"/>
          <w:szCs w:val="20"/>
          <w:lang w:eastAsia="pt-BR"/>
        </w:rPr>
        <w:t>, 2021</w:t>
      </w:r>
    </w:p>
    <w:p w14:paraId="2842C6D8" w14:textId="41B26551" w:rsidR="002E78A7" w:rsidRPr="00A278B1" w:rsidRDefault="002E78A7" w:rsidP="00A50FD7">
      <w:pPr>
        <w:spacing w:before="240" w:after="0" w:line="276" w:lineRule="auto"/>
        <w:ind w:firstLine="720"/>
        <w:jc w:val="both"/>
        <w:rPr>
          <w:rFonts w:ascii="Arial" w:eastAsia="Times New Roman" w:hAnsi="Arial" w:cs="Arial"/>
          <w:sz w:val="24"/>
          <w:szCs w:val="24"/>
          <w:lang w:eastAsia="pt-BR"/>
        </w:rPr>
      </w:pPr>
      <w:r w:rsidRPr="00A278B1">
        <w:rPr>
          <w:rFonts w:ascii="Arial" w:eastAsia="Times New Roman" w:hAnsi="Arial" w:cs="Arial"/>
          <w:color w:val="000000"/>
          <w:sz w:val="24"/>
          <w:szCs w:val="24"/>
          <w:lang w:eastAsia="pt-BR"/>
        </w:rPr>
        <w:t xml:space="preserve">Aplicando o coeficiente de </w:t>
      </w:r>
      <w:r w:rsidR="00A50FD7" w:rsidRPr="00A278B1">
        <w:rPr>
          <w:rFonts w:ascii="Arial" w:eastAsia="Times New Roman" w:hAnsi="Arial" w:cs="Arial"/>
          <w:color w:val="000000"/>
          <w:sz w:val="24"/>
          <w:szCs w:val="24"/>
          <w:lang w:eastAsia="pt-BR"/>
        </w:rPr>
        <w:t xml:space="preserve">Pearson </w:t>
      </w:r>
      <w:r w:rsidRPr="00A278B1">
        <w:rPr>
          <w:rFonts w:ascii="Arial" w:eastAsia="Times New Roman" w:hAnsi="Arial" w:cs="Arial"/>
          <w:color w:val="000000"/>
          <w:sz w:val="24"/>
          <w:szCs w:val="24"/>
          <w:lang w:eastAsia="pt-BR"/>
        </w:rPr>
        <w:t>para verificar o grau de correlação entre o IEX-D15 e a incidência de casos por 10</w:t>
      </w:r>
      <w:r w:rsidR="00A50FD7" w:rsidRPr="00A278B1">
        <w:rPr>
          <w:rFonts w:ascii="Arial" w:eastAsia="Times New Roman" w:hAnsi="Arial" w:cs="Arial"/>
          <w:color w:val="000000"/>
          <w:sz w:val="24"/>
          <w:szCs w:val="24"/>
          <w:lang w:eastAsia="pt-BR"/>
        </w:rPr>
        <w:t>.</w:t>
      </w:r>
      <w:r w:rsidRPr="00A278B1">
        <w:rPr>
          <w:rFonts w:ascii="Arial" w:eastAsia="Times New Roman" w:hAnsi="Arial" w:cs="Arial"/>
          <w:color w:val="000000"/>
          <w:sz w:val="24"/>
          <w:szCs w:val="24"/>
          <w:lang w:eastAsia="pt-BR"/>
        </w:rPr>
        <w:t>000 hab</w:t>
      </w:r>
      <w:r w:rsidR="00A50FD7" w:rsidRPr="00A278B1">
        <w:rPr>
          <w:rFonts w:ascii="Arial" w:eastAsia="Times New Roman" w:hAnsi="Arial" w:cs="Arial"/>
          <w:color w:val="000000"/>
          <w:sz w:val="24"/>
          <w:szCs w:val="24"/>
          <w:lang w:eastAsia="pt-BR"/>
        </w:rPr>
        <w:t>itantes</w:t>
      </w:r>
      <w:r w:rsidRPr="00A278B1">
        <w:rPr>
          <w:rFonts w:ascii="Arial" w:eastAsia="Times New Roman" w:hAnsi="Arial" w:cs="Arial"/>
          <w:color w:val="000000"/>
          <w:sz w:val="24"/>
          <w:szCs w:val="24"/>
          <w:lang w:eastAsia="pt-BR"/>
        </w:rPr>
        <w:t xml:space="preserve"> de cada setor censitário, nota-se que os valores foram praticamente nulos, tanto para o primeiro ano de pandemia quanto para os trimestres deste ano avaliado. Esses </w:t>
      </w:r>
      <w:r w:rsidRPr="00A278B1">
        <w:rPr>
          <w:rFonts w:ascii="Arial" w:eastAsia="Times New Roman" w:hAnsi="Arial" w:cs="Arial"/>
          <w:color w:val="000000"/>
          <w:sz w:val="24"/>
          <w:szCs w:val="24"/>
          <w:lang w:eastAsia="pt-BR"/>
        </w:rPr>
        <w:lastRenderedPageBreak/>
        <w:t>valores por estarem próximos de 0 apontam a baixa correlação entre as duas variáveis.</w:t>
      </w:r>
    </w:p>
    <w:p w14:paraId="24D30F62" w14:textId="4F60A119" w:rsidR="002E78A7" w:rsidRPr="00A278B1" w:rsidRDefault="002E78A7" w:rsidP="00A50FD7">
      <w:pPr>
        <w:spacing w:before="240" w:after="0" w:line="276" w:lineRule="auto"/>
        <w:ind w:firstLine="720"/>
        <w:jc w:val="both"/>
        <w:rPr>
          <w:rFonts w:ascii="Arial" w:eastAsia="Times New Roman" w:hAnsi="Arial" w:cs="Arial"/>
          <w:sz w:val="24"/>
          <w:szCs w:val="24"/>
          <w:lang w:eastAsia="pt-BR"/>
        </w:rPr>
      </w:pPr>
      <w:r w:rsidRPr="00A278B1">
        <w:rPr>
          <w:rFonts w:ascii="Arial" w:eastAsia="Times New Roman" w:hAnsi="Arial" w:cs="Arial"/>
          <w:color w:val="000000"/>
          <w:sz w:val="24"/>
          <w:szCs w:val="24"/>
          <w:lang w:eastAsia="pt-BR"/>
        </w:rPr>
        <w:t xml:space="preserve">Para a correlação taxa de mortalidade por covid-19 e IEX-D15 o coeficiente de </w:t>
      </w:r>
      <w:r w:rsidR="00215D27" w:rsidRPr="00A278B1">
        <w:rPr>
          <w:rFonts w:ascii="Arial" w:eastAsia="Times New Roman" w:hAnsi="Arial" w:cs="Arial"/>
          <w:color w:val="000000"/>
          <w:sz w:val="24"/>
          <w:szCs w:val="24"/>
          <w:lang w:eastAsia="pt-BR"/>
        </w:rPr>
        <w:t>P</w:t>
      </w:r>
      <w:r w:rsidRPr="00A278B1">
        <w:rPr>
          <w:rFonts w:ascii="Arial" w:eastAsia="Times New Roman" w:hAnsi="Arial" w:cs="Arial"/>
          <w:color w:val="000000"/>
          <w:sz w:val="24"/>
          <w:szCs w:val="24"/>
          <w:lang w:eastAsia="pt-BR"/>
        </w:rPr>
        <w:t>earson calculado foi de -0,024, o que indica correlação praticamente inexistente.</w:t>
      </w:r>
    </w:p>
    <w:p w14:paraId="5001DDF2" w14:textId="73C33A2C" w:rsidR="002E78A7" w:rsidRPr="00A278B1" w:rsidRDefault="001C6744" w:rsidP="00A50FD7">
      <w:pPr>
        <w:spacing w:before="240" w:after="0" w:line="240" w:lineRule="auto"/>
        <w:jc w:val="center"/>
        <w:rPr>
          <w:rFonts w:ascii="Arial" w:eastAsia="Times New Roman" w:hAnsi="Arial" w:cs="Arial"/>
          <w:b/>
          <w:bCs/>
          <w:color w:val="000000"/>
          <w:sz w:val="20"/>
          <w:szCs w:val="20"/>
          <w:lang w:eastAsia="pt-BR"/>
        </w:rPr>
      </w:pPr>
      <w:r w:rsidRPr="00A278B1">
        <w:rPr>
          <w:rFonts w:ascii="Arial" w:eastAsia="Times New Roman" w:hAnsi="Arial" w:cs="Arial"/>
          <w:b/>
          <w:bCs/>
          <w:color w:val="000000"/>
          <w:sz w:val="20"/>
          <w:szCs w:val="20"/>
          <w:lang w:eastAsia="pt-BR"/>
        </w:rPr>
        <w:t xml:space="preserve">Tabela 2: </w:t>
      </w:r>
      <w:r w:rsidR="002E78A7" w:rsidRPr="00A278B1">
        <w:rPr>
          <w:rFonts w:ascii="Arial" w:eastAsia="Times New Roman" w:hAnsi="Arial" w:cs="Arial"/>
          <w:b/>
          <w:bCs/>
          <w:color w:val="000000"/>
          <w:sz w:val="20"/>
          <w:szCs w:val="20"/>
          <w:lang w:eastAsia="pt-BR"/>
        </w:rPr>
        <w:t xml:space="preserve">Grau de correlação entre taxa de incidência de casos (casos/10.000hab) e o </w:t>
      </w:r>
      <w:r w:rsidR="00953193" w:rsidRPr="00A278B1">
        <w:rPr>
          <w:rFonts w:ascii="Arial" w:eastAsia="Times New Roman" w:hAnsi="Arial" w:cs="Arial"/>
          <w:b/>
          <w:bCs/>
          <w:color w:val="000000"/>
          <w:sz w:val="20"/>
          <w:szCs w:val="20"/>
          <w:lang w:eastAsia="pt-BR"/>
        </w:rPr>
        <w:t>Índice</w:t>
      </w:r>
      <w:r w:rsidR="002E78A7" w:rsidRPr="00A278B1">
        <w:rPr>
          <w:rFonts w:ascii="Arial" w:eastAsia="Times New Roman" w:hAnsi="Arial" w:cs="Arial"/>
          <w:b/>
          <w:bCs/>
          <w:color w:val="000000"/>
          <w:sz w:val="20"/>
          <w:szCs w:val="20"/>
          <w:lang w:eastAsia="pt-BR"/>
        </w:rPr>
        <w:t xml:space="preserve"> de </w:t>
      </w:r>
      <w:r w:rsidR="00A23544" w:rsidRPr="00A278B1">
        <w:rPr>
          <w:rFonts w:ascii="Arial" w:eastAsia="Times New Roman" w:hAnsi="Arial" w:cs="Arial"/>
          <w:b/>
          <w:bCs/>
          <w:color w:val="000000"/>
          <w:sz w:val="20"/>
          <w:szCs w:val="20"/>
          <w:lang w:eastAsia="pt-BR"/>
        </w:rPr>
        <w:t>E</w:t>
      </w:r>
      <w:r w:rsidR="002E78A7" w:rsidRPr="00A278B1">
        <w:rPr>
          <w:rFonts w:ascii="Arial" w:eastAsia="Times New Roman" w:hAnsi="Arial" w:cs="Arial"/>
          <w:b/>
          <w:bCs/>
          <w:color w:val="000000"/>
          <w:sz w:val="20"/>
          <w:szCs w:val="20"/>
          <w:lang w:eastAsia="pt-BR"/>
        </w:rPr>
        <w:t>xclusão/</w:t>
      </w:r>
      <w:r w:rsidR="00A23544" w:rsidRPr="00A278B1">
        <w:rPr>
          <w:rFonts w:ascii="Arial" w:eastAsia="Times New Roman" w:hAnsi="Arial" w:cs="Arial"/>
          <w:b/>
          <w:bCs/>
          <w:color w:val="000000"/>
          <w:sz w:val="20"/>
          <w:szCs w:val="20"/>
          <w:lang w:eastAsia="pt-BR"/>
        </w:rPr>
        <w:t>I</w:t>
      </w:r>
      <w:r w:rsidR="002E78A7" w:rsidRPr="00A278B1">
        <w:rPr>
          <w:rFonts w:ascii="Arial" w:eastAsia="Times New Roman" w:hAnsi="Arial" w:cs="Arial"/>
          <w:b/>
          <w:bCs/>
          <w:color w:val="000000"/>
          <w:sz w:val="20"/>
          <w:szCs w:val="20"/>
          <w:lang w:eastAsia="pt-BR"/>
        </w:rPr>
        <w:t xml:space="preserve">nclusão </w:t>
      </w:r>
      <w:r w:rsidR="00A23544" w:rsidRPr="00A278B1">
        <w:rPr>
          <w:rFonts w:ascii="Arial" w:eastAsia="Times New Roman" w:hAnsi="Arial" w:cs="Arial"/>
          <w:b/>
          <w:bCs/>
          <w:color w:val="000000"/>
          <w:sz w:val="20"/>
          <w:szCs w:val="20"/>
          <w:lang w:eastAsia="pt-BR"/>
        </w:rPr>
        <w:t>S</w:t>
      </w:r>
      <w:r w:rsidR="002E78A7" w:rsidRPr="00A278B1">
        <w:rPr>
          <w:rFonts w:ascii="Arial" w:eastAsia="Times New Roman" w:hAnsi="Arial" w:cs="Arial"/>
          <w:b/>
          <w:bCs/>
          <w:color w:val="000000"/>
          <w:sz w:val="20"/>
          <w:szCs w:val="20"/>
          <w:lang w:eastAsia="pt-BR"/>
        </w:rPr>
        <w:t>ocial (D15)</w:t>
      </w:r>
    </w:p>
    <w:p w14:paraId="32726E1C" w14:textId="69137998" w:rsidR="00EC2E0F" w:rsidRPr="00A278B1" w:rsidRDefault="00EC2E0F" w:rsidP="002E78A7">
      <w:pPr>
        <w:spacing w:after="0" w:line="240" w:lineRule="auto"/>
        <w:jc w:val="center"/>
        <w:rPr>
          <w:rFonts w:ascii="Arial" w:eastAsia="Times New Roman" w:hAnsi="Arial" w:cs="Arial"/>
          <w:b/>
          <w:bCs/>
          <w:sz w:val="24"/>
          <w:szCs w:val="24"/>
          <w:lang w:eastAsia="pt-BR"/>
        </w:rPr>
      </w:pPr>
    </w:p>
    <w:tbl>
      <w:tblPr>
        <w:tblStyle w:val="Tabelacomgrade"/>
        <w:tblW w:w="0" w:type="auto"/>
        <w:tblInd w:w="1413" w:type="dxa"/>
        <w:tblLook w:val="04A0" w:firstRow="1" w:lastRow="0" w:firstColumn="1" w:lastColumn="0" w:noHBand="0" w:noVBand="1"/>
      </w:tblPr>
      <w:tblGrid>
        <w:gridCol w:w="2834"/>
        <w:gridCol w:w="2694"/>
      </w:tblGrid>
      <w:tr w:rsidR="001C6744" w:rsidRPr="00A278B1" w14:paraId="2C94FEDE" w14:textId="77777777" w:rsidTr="00135FF0">
        <w:tc>
          <w:tcPr>
            <w:tcW w:w="5528" w:type="dxa"/>
            <w:gridSpan w:val="2"/>
            <w:shd w:val="clear" w:color="auto" w:fill="F2F2F2" w:themeFill="background1" w:themeFillShade="F2"/>
          </w:tcPr>
          <w:p w14:paraId="01C2E342" w14:textId="47A6DBA2" w:rsidR="001C6744" w:rsidRPr="00A278B1" w:rsidRDefault="001C6744" w:rsidP="00FF5992">
            <w:pPr>
              <w:jc w:val="center"/>
              <w:rPr>
                <w:rFonts w:ascii="Arial" w:eastAsia="Times New Roman" w:hAnsi="Arial" w:cs="Arial"/>
                <w:b/>
                <w:bCs/>
                <w:lang w:eastAsia="pt-BR"/>
              </w:rPr>
            </w:pPr>
            <w:r w:rsidRPr="00A278B1">
              <w:rPr>
                <w:rFonts w:ascii="Arial" w:eastAsia="Times New Roman" w:hAnsi="Arial" w:cs="Arial"/>
                <w:b/>
                <w:bCs/>
                <w:lang w:eastAsia="pt-BR"/>
              </w:rPr>
              <w:t>Incidência de casos e IEX-D15</w:t>
            </w:r>
          </w:p>
        </w:tc>
      </w:tr>
      <w:tr w:rsidR="001C6744" w:rsidRPr="00A278B1" w14:paraId="576E71FC" w14:textId="77777777" w:rsidTr="00135FF0">
        <w:tc>
          <w:tcPr>
            <w:tcW w:w="2834" w:type="dxa"/>
            <w:shd w:val="clear" w:color="auto" w:fill="F2F2F2" w:themeFill="background1" w:themeFillShade="F2"/>
            <w:vAlign w:val="bottom"/>
          </w:tcPr>
          <w:p w14:paraId="6B0264B6" w14:textId="77777777" w:rsidR="001C6744" w:rsidRPr="00A278B1" w:rsidRDefault="001C6744" w:rsidP="00FF5992">
            <w:pPr>
              <w:rPr>
                <w:rFonts w:ascii="Arial" w:eastAsia="Times New Roman" w:hAnsi="Arial" w:cs="Arial"/>
                <w:b/>
                <w:bCs/>
                <w:lang w:eastAsia="pt-BR"/>
              </w:rPr>
            </w:pPr>
            <w:r w:rsidRPr="00A278B1">
              <w:rPr>
                <w:rFonts w:ascii="Arial" w:eastAsia="Times New Roman" w:hAnsi="Arial" w:cs="Arial"/>
                <w:b/>
                <w:bCs/>
                <w:color w:val="000000"/>
                <w:lang w:eastAsia="pt-BR"/>
              </w:rPr>
              <w:t>Período</w:t>
            </w:r>
          </w:p>
        </w:tc>
        <w:tc>
          <w:tcPr>
            <w:tcW w:w="2694" w:type="dxa"/>
            <w:shd w:val="clear" w:color="auto" w:fill="F2F2F2" w:themeFill="background1" w:themeFillShade="F2"/>
            <w:vAlign w:val="bottom"/>
          </w:tcPr>
          <w:p w14:paraId="55DE97B2" w14:textId="77777777" w:rsidR="001C6744" w:rsidRPr="00A278B1" w:rsidRDefault="001C6744" w:rsidP="00FF5992">
            <w:pPr>
              <w:jc w:val="center"/>
              <w:rPr>
                <w:rFonts w:ascii="Arial" w:eastAsia="Times New Roman" w:hAnsi="Arial" w:cs="Arial"/>
                <w:b/>
                <w:bCs/>
                <w:lang w:eastAsia="pt-BR"/>
              </w:rPr>
            </w:pPr>
            <w:proofErr w:type="spellStart"/>
            <w:r w:rsidRPr="00A278B1">
              <w:rPr>
                <w:rFonts w:ascii="Arial" w:eastAsia="Times New Roman" w:hAnsi="Arial" w:cs="Arial"/>
                <w:b/>
                <w:bCs/>
                <w:color w:val="000000"/>
                <w:lang w:eastAsia="pt-BR"/>
              </w:rPr>
              <w:t>r</w:t>
            </w:r>
            <w:r w:rsidRPr="00A278B1">
              <w:rPr>
                <w:rFonts w:ascii="Arial" w:eastAsia="Times New Roman" w:hAnsi="Arial" w:cs="Arial"/>
                <w:b/>
                <w:bCs/>
                <w:color w:val="000000"/>
                <w:vertAlign w:val="subscript"/>
                <w:lang w:eastAsia="pt-BR"/>
              </w:rPr>
              <w:t>s</w:t>
            </w:r>
            <w:proofErr w:type="spellEnd"/>
          </w:p>
        </w:tc>
      </w:tr>
      <w:tr w:rsidR="001C6744" w:rsidRPr="00A278B1" w14:paraId="0669D7BB" w14:textId="77777777" w:rsidTr="00135FF0">
        <w:tc>
          <w:tcPr>
            <w:tcW w:w="2834" w:type="dxa"/>
            <w:vAlign w:val="bottom"/>
          </w:tcPr>
          <w:p w14:paraId="4317C715" w14:textId="77777777" w:rsidR="001C6744" w:rsidRPr="00A278B1" w:rsidRDefault="001C6744" w:rsidP="001C6744">
            <w:pPr>
              <w:rPr>
                <w:rFonts w:ascii="Arial" w:eastAsia="Times New Roman" w:hAnsi="Arial" w:cs="Arial"/>
                <w:lang w:eastAsia="pt-BR"/>
              </w:rPr>
            </w:pPr>
            <w:r w:rsidRPr="00A278B1">
              <w:rPr>
                <w:rFonts w:ascii="Arial" w:eastAsia="Times New Roman" w:hAnsi="Arial" w:cs="Arial"/>
                <w:color w:val="000000"/>
                <w:lang w:eastAsia="pt-BR"/>
              </w:rPr>
              <w:t>Ano</w:t>
            </w:r>
          </w:p>
        </w:tc>
        <w:tc>
          <w:tcPr>
            <w:tcW w:w="2694" w:type="dxa"/>
            <w:vAlign w:val="bottom"/>
          </w:tcPr>
          <w:p w14:paraId="023D581C" w14:textId="77143411" w:rsidR="001C6744" w:rsidRPr="00A278B1" w:rsidRDefault="001C6744" w:rsidP="001C6744">
            <w:pPr>
              <w:jc w:val="center"/>
              <w:rPr>
                <w:rFonts w:ascii="Arial" w:eastAsia="Times New Roman" w:hAnsi="Arial" w:cs="Arial"/>
                <w:lang w:eastAsia="pt-BR"/>
              </w:rPr>
            </w:pPr>
            <w:r w:rsidRPr="00A278B1">
              <w:rPr>
                <w:rFonts w:ascii="Arial" w:eastAsia="Times New Roman" w:hAnsi="Arial" w:cs="Arial"/>
                <w:color w:val="000000"/>
                <w:sz w:val="20"/>
                <w:szCs w:val="20"/>
                <w:lang w:eastAsia="pt-BR"/>
              </w:rPr>
              <w:t>0,029</w:t>
            </w:r>
          </w:p>
        </w:tc>
      </w:tr>
      <w:tr w:rsidR="001C6744" w:rsidRPr="00A278B1" w14:paraId="221F9C26" w14:textId="77777777" w:rsidTr="00135FF0">
        <w:tc>
          <w:tcPr>
            <w:tcW w:w="2834" w:type="dxa"/>
            <w:vAlign w:val="bottom"/>
          </w:tcPr>
          <w:p w14:paraId="2585E533" w14:textId="77777777" w:rsidR="001C6744" w:rsidRPr="00A278B1" w:rsidRDefault="001C6744" w:rsidP="001C6744">
            <w:pPr>
              <w:rPr>
                <w:rFonts w:ascii="Arial" w:eastAsia="Times New Roman" w:hAnsi="Arial" w:cs="Arial"/>
                <w:lang w:eastAsia="pt-BR"/>
              </w:rPr>
            </w:pPr>
            <w:r w:rsidRPr="00A278B1">
              <w:rPr>
                <w:rFonts w:ascii="Arial" w:eastAsia="Times New Roman" w:hAnsi="Arial" w:cs="Arial"/>
                <w:color w:val="000000"/>
                <w:lang w:eastAsia="pt-BR"/>
              </w:rPr>
              <w:t>1°trimestre</w:t>
            </w:r>
          </w:p>
        </w:tc>
        <w:tc>
          <w:tcPr>
            <w:tcW w:w="2694" w:type="dxa"/>
            <w:vAlign w:val="bottom"/>
          </w:tcPr>
          <w:p w14:paraId="1CB68BD8" w14:textId="742606D8" w:rsidR="001C6744" w:rsidRPr="00A278B1" w:rsidRDefault="001C6744" w:rsidP="001C6744">
            <w:pPr>
              <w:jc w:val="center"/>
              <w:rPr>
                <w:rFonts w:ascii="Arial" w:eastAsia="Times New Roman" w:hAnsi="Arial" w:cs="Arial"/>
                <w:lang w:eastAsia="pt-BR"/>
              </w:rPr>
            </w:pPr>
            <w:r w:rsidRPr="00A278B1">
              <w:rPr>
                <w:rFonts w:ascii="Arial" w:eastAsia="Times New Roman" w:hAnsi="Arial" w:cs="Arial"/>
                <w:color w:val="000000"/>
                <w:sz w:val="20"/>
                <w:szCs w:val="20"/>
                <w:lang w:eastAsia="pt-BR"/>
              </w:rPr>
              <w:t>-0,057</w:t>
            </w:r>
          </w:p>
        </w:tc>
      </w:tr>
      <w:tr w:rsidR="001C6744" w:rsidRPr="00A278B1" w14:paraId="268EF6A4" w14:textId="77777777" w:rsidTr="00135FF0">
        <w:tc>
          <w:tcPr>
            <w:tcW w:w="2834" w:type="dxa"/>
            <w:vAlign w:val="bottom"/>
          </w:tcPr>
          <w:p w14:paraId="31B62241" w14:textId="77777777" w:rsidR="001C6744" w:rsidRPr="00A278B1" w:rsidRDefault="001C6744" w:rsidP="001C6744">
            <w:pPr>
              <w:rPr>
                <w:rFonts w:ascii="Arial" w:eastAsia="Times New Roman" w:hAnsi="Arial" w:cs="Arial"/>
                <w:lang w:eastAsia="pt-BR"/>
              </w:rPr>
            </w:pPr>
            <w:r w:rsidRPr="00A278B1">
              <w:rPr>
                <w:rFonts w:ascii="Arial" w:eastAsia="Times New Roman" w:hAnsi="Arial" w:cs="Arial"/>
                <w:color w:val="000000"/>
                <w:lang w:eastAsia="pt-BR"/>
              </w:rPr>
              <w:t>2°trimestre</w:t>
            </w:r>
          </w:p>
        </w:tc>
        <w:tc>
          <w:tcPr>
            <w:tcW w:w="2694" w:type="dxa"/>
            <w:vAlign w:val="bottom"/>
          </w:tcPr>
          <w:p w14:paraId="334CDB89" w14:textId="7354A605" w:rsidR="001C6744" w:rsidRPr="00A278B1" w:rsidRDefault="001C6744" w:rsidP="001C6744">
            <w:pPr>
              <w:jc w:val="center"/>
              <w:rPr>
                <w:rFonts w:ascii="Arial" w:eastAsia="Times New Roman" w:hAnsi="Arial" w:cs="Arial"/>
                <w:lang w:eastAsia="pt-BR"/>
              </w:rPr>
            </w:pPr>
            <w:r w:rsidRPr="00A278B1">
              <w:rPr>
                <w:rFonts w:ascii="Arial" w:eastAsia="Times New Roman" w:hAnsi="Arial" w:cs="Arial"/>
                <w:color w:val="000000"/>
                <w:sz w:val="20"/>
                <w:szCs w:val="20"/>
                <w:lang w:eastAsia="pt-BR"/>
              </w:rPr>
              <w:t>0,019</w:t>
            </w:r>
          </w:p>
        </w:tc>
      </w:tr>
      <w:tr w:rsidR="001C6744" w:rsidRPr="00A278B1" w14:paraId="2D0506EF" w14:textId="77777777" w:rsidTr="00135FF0">
        <w:tc>
          <w:tcPr>
            <w:tcW w:w="2834" w:type="dxa"/>
            <w:vAlign w:val="bottom"/>
          </w:tcPr>
          <w:p w14:paraId="5598C7EF" w14:textId="77777777" w:rsidR="001C6744" w:rsidRPr="00A278B1" w:rsidRDefault="001C6744" w:rsidP="001C6744">
            <w:pPr>
              <w:rPr>
                <w:rFonts w:ascii="Arial" w:eastAsia="Times New Roman" w:hAnsi="Arial" w:cs="Arial"/>
                <w:lang w:eastAsia="pt-BR"/>
              </w:rPr>
            </w:pPr>
            <w:r w:rsidRPr="00A278B1">
              <w:rPr>
                <w:rFonts w:ascii="Arial" w:eastAsia="Times New Roman" w:hAnsi="Arial" w:cs="Arial"/>
                <w:color w:val="000000"/>
                <w:lang w:eastAsia="pt-BR"/>
              </w:rPr>
              <w:t>3°trimestre</w:t>
            </w:r>
          </w:p>
        </w:tc>
        <w:tc>
          <w:tcPr>
            <w:tcW w:w="2694" w:type="dxa"/>
            <w:vAlign w:val="bottom"/>
          </w:tcPr>
          <w:p w14:paraId="613AEF8E" w14:textId="5FF822E8" w:rsidR="001C6744" w:rsidRPr="00A278B1" w:rsidRDefault="001C6744" w:rsidP="001C6744">
            <w:pPr>
              <w:jc w:val="center"/>
              <w:rPr>
                <w:rFonts w:ascii="Arial" w:eastAsia="Times New Roman" w:hAnsi="Arial" w:cs="Arial"/>
                <w:lang w:eastAsia="pt-BR"/>
              </w:rPr>
            </w:pPr>
            <w:r w:rsidRPr="00A278B1">
              <w:rPr>
                <w:rFonts w:ascii="Arial" w:eastAsia="Times New Roman" w:hAnsi="Arial" w:cs="Arial"/>
                <w:color w:val="000000"/>
                <w:sz w:val="20"/>
                <w:szCs w:val="20"/>
                <w:lang w:eastAsia="pt-BR"/>
              </w:rPr>
              <w:t>0,017</w:t>
            </w:r>
          </w:p>
        </w:tc>
      </w:tr>
      <w:tr w:rsidR="001C6744" w:rsidRPr="00A278B1" w14:paraId="56B38BD0" w14:textId="77777777" w:rsidTr="00135FF0">
        <w:tc>
          <w:tcPr>
            <w:tcW w:w="2834" w:type="dxa"/>
            <w:vAlign w:val="bottom"/>
          </w:tcPr>
          <w:p w14:paraId="34E7CB54" w14:textId="77777777" w:rsidR="001C6744" w:rsidRPr="00A278B1" w:rsidRDefault="001C6744" w:rsidP="001C6744">
            <w:pPr>
              <w:rPr>
                <w:rFonts w:ascii="Arial" w:eastAsia="Times New Roman" w:hAnsi="Arial" w:cs="Arial"/>
                <w:lang w:eastAsia="pt-BR"/>
              </w:rPr>
            </w:pPr>
            <w:r w:rsidRPr="00A278B1">
              <w:rPr>
                <w:rFonts w:ascii="Arial" w:eastAsia="Times New Roman" w:hAnsi="Arial" w:cs="Arial"/>
                <w:color w:val="000000"/>
                <w:lang w:eastAsia="pt-BR"/>
              </w:rPr>
              <w:t>4°trimestre</w:t>
            </w:r>
          </w:p>
        </w:tc>
        <w:tc>
          <w:tcPr>
            <w:tcW w:w="2694" w:type="dxa"/>
            <w:vAlign w:val="bottom"/>
          </w:tcPr>
          <w:p w14:paraId="3B701A73" w14:textId="777C1AE3" w:rsidR="001C6744" w:rsidRPr="00A278B1" w:rsidRDefault="001C6744" w:rsidP="001C6744">
            <w:pPr>
              <w:jc w:val="center"/>
              <w:rPr>
                <w:rFonts w:ascii="Arial" w:eastAsia="Times New Roman" w:hAnsi="Arial" w:cs="Arial"/>
                <w:lang w:eastAsia="pt-BR"/>
              </w:rPr>
            </w:pPr>
            <w:r w:rsidRPr="00A278B1">
              <w:rPr>
                <w:rFonts w:ascii="Arial" w:eastAsia="Times New Roman" w:hAnsi="Arial" w:cs="Arial"/>
                <w:color w:val="000000"/>
                <w:sz w:val="20"/>
                <w:szCs w:val="20"/>
                <w:lang w:eastAsia="pt-BR"/>
              </w:rPr>
              <w:t>0,041</w:t>
            </w:r>
          </w:p>
        </w:tc>
      </w:tr>
    </w:tbl>
    <w:p w14:paraId="45250C64" w14:textId="650DA98E" w:rsidR="001C6744" w:rsidRPr="00A278B1" w:rsidRDefault="00953193" w:rsidP="002E78A7">
      <w:pPr>
        <w:spacing w:after="0" w:line="240" w:lineRule="auto"/>
        <w:jc w:val="center"/>
        <w:rPr>
          <w:rFonts w:ascii="Arial" w:eastAsia="Times New Roman" w:hAnsi="Arial" w:cs="Arial"/>
          <w:lang w:eastAsia="pt-BR"/>
        </w:rPr>
      </w:pPr>
      <w:r w:rsidRPr="00A278B1">
        <w:rPr>
          <w:rFonts w:ascii="Arial" w:eastAsia="Times New Roman" w:hAnsi="Arial" w:cs="Arial"/>
          <w:lang w:eastAsia="pt-BR"/>
        </w:rPr>
        <w:t xml:space="preserve">Elaboração: Autores, 2021. </w:t>
      </w:r>
    </w:p>
    <w:p w14:paraId="2C3180F4" w14:textId="022CD042" w:rsidR="001C6744" w:rsidRPr="00A278B1" w:rsidRDefault="001C6744" w:rsidP="002E78A7">
      <w:pPr>
        <w:spacing w:after="0" w:line="240" w:lineRule="auto"/>
        <w:jc w:val="center"/>
        <w:rPr>
          <w:rFonts w:ascii="Arial" w:eastAsia="Times New Roman" w:hAnsi="Arial" w:cs="Arial"/>
          <w:b/>
          <w:bCs/>
          <w:sz w:val="24"/>
          <w:szCs w:val="24"/>
          <w:lang w:eastAsia="pt-BR"/>
        </w:rPr>
      </w:pPr>
    </w:p>
    <w:p w14:paraId="1ED0AA54" w14:textId="77777777" w:rsidR="00EC2E0F" w:rsidRPr="00A278B1" w:rsidRDefault="00EC2E0F" w:rsidP="002E78A7">
      <w:pPr>
        <w:spacing w:after="0" w:line="240" w:lineRule="auto"/>
        <w:rPr>
          <w:rFonts w:ascii="Arial" w:eastAsia="Times New Roman" w:hAnsi="Arial" w:cs="Arial"/>
          <w:sz w:val="24"/>
          <w:szCs w:val="24"/>
          <w:lang w:eastAsia="pt-BR"/>
        </w:rPr>
      </w:pPr>
    </w:p>
    <w:p w14:paraId="3424AFC3" w14:textId="491108BC" w:rsidR="002E78A7" w:rsidRPr="00A278B1" w:rsidRDefault="002E78A7" w:rsidP="002E78A7">
      <w:pPr>
        <w:spacing w:before="240" w:after="240" w:line="240" w:lineRule="auto"/>
        <w:jc w:val="both"/>
        <w:rPr>
          <w:rFonts w:ascii="Arial" w:eastAsia="Times New Roman" w:hAnsi="Arial" w:cs="Arial"/>
          <w:lang w:eastAsia="pt-BR"/>
        </w:rPr>
      </w:pPr>
      <w:r w:rsidRPr="00A278B1">
        <w:rPr>
          <w:rFonts w:ascii="Arial" w:eastAsia="Times New Roman" w:hAnsi="Arial" w:cs="Arial"/>
          <w:b/>
          <w:bCs/>
          <w:color w:val="000000"/>
          <w:lang w:eastAsia="pt-BR"/>
        </w:rPr>
        <w:t> </w:t>
      </w:r>
      <w:r w:rsidR="00A50FD7" w:rsidRPr="00A278B1">
        <w:rPr>
          <w:rFonts w:ascii="Arial" w:eastAsia="Times New Roman" w:hAnsi="Arial" w:cs="Arial"/>
          <w:b/>
          <w:bCs/>
          <w:color w:val="000000"/>
          <w:lang w:eastAsia="pt-BR"/>
        </w:rPr>
        <w:t>Incidência e mortalidade por Covid-19 conforme o IEX-D15</w:t>
      </w:r>
    </w:p>
    <w:p w14:paraId="4AB50894" w14:textId="6C05176D" w:rsidR="002E78A7" w:rsidRPr="00A278B1" w:rsidRDefault="002E78A7" w:rsidP="00EC2E0F">
      <w:pPr>
        <w:spacing w:after="0" w:line="276" w:lineRule="auto"/>
        <w:ind w:firstLine="720"/>
        <w:jc w:val="both"/>
        <w:rPr>
          <w:rFonts w:ascii="Arial" w:eastAsia="Times New Roman" w:hAnsi="Arial" w:cs="Arial"/>
          <w:lang w:eastAsia="pt-BR"/>
        </w:rPr>
      </w:pPr>
      <w:r w:rsidRPr="00A278B1">
        <w:rPr>
          <w:rFonts w:ascii="Arial" w:eastAsia="Times New Roman" w:hAnsi="Arial" w:cs="Arial"/>
          <w:color w:val="000000"/>
          <w:lang w:eastAsia="pt-BR"/>
        </w:rPr>
        <w:t xml:space="preserve">Ao analisar </w:t>
      </w:r>
      <w:r w:rsidR="00A50FD7" w:rsidRPr="00A278B1">
        <w:rPr>
          <w:rFonts w:ascii="Arial" w:eastAsia="Times New Roman" w:hAnsi="Arial" w:cs="Arial"/>
          <w:color w:val="000000"/>
          <w:lang w:eastAsia="pt-BR"/>
        </w:rPr>
        <w:t>a ocorrência de</w:t>
      </w:r>
      <w:r w:rsidRPr="00A278B1">
        <w:rPr>
          <w:rFonts w:ascii="Arial" w:eastAsia="Times New Roman" w:hAnsi="Arial" w:cs="Arial"/>
          <w:color w:val="000000"/>
          <w:lang w:eastAsia="pt-BR"/>
        </w:rPr>
        <w:t xml:space="preserve"> casos e óbitos por COVID-19, </w:t>
      </w:r>
      <w:r w:rsidR="00A50FD7" w:rsidRPr="00A278B1">
        <w:rPr>
          <w:rFonts w:ascii="Arial" w:eastAsia="Times New Roman" w:hAnsi="Arial" w:cs="Arial"/>
          <w:color w:val="000000"/>
          <w:lang w:eastAsia="pt-BR"/>
        </w:rPr>
        <w:t xml:space="preserve">a partir do indicador de exclusão construído a partir da técnica do </w:t>
      </w:r>
      <w:proofErr w:type="spellStart"/>
      <w:r w:rsidR="00A50FD7" w:rsidRPr="00A278B1">
        <w:rPr>
          <w:rFonts w:ascii="Arial" w:eastAsia="Times New Roman" w:hAnsi="Arial" w:cs="Arial"/>
          <w:color w:val="000000"/>
          <w:lang w:eastAsia="pt-BR"/>
        </w:rPr>
        <w:t>quantil</w:t>
      </w:r>
      <w:proofErr w:type="spellEnd"/>
      <w:r w:rsidR="00A50FD7" w:rsidRPr="00A278B1">
        <w:rPr>
          <w:rFonts w:ascii="Arial" w:eastAsia="Times New Roman" w:hAnsi="Arial" w:cs="Arial"/>
          <w:color w:val="000000"/>
          <w:lang w:eastAsia="pt-BR"/>
        </w:rPr>
        <w:t xml:space="preserve">, verificou-se concentração </w:t>
      </w:r>
      <w:r w:rsidRPr="00A278B1">
        <w:rPr>
          <w:rFonts w:ascii="Arial" w:eastAsia="Times New Roman" w:hAnsi="Arial" w:cs="Arial"/>
          <w:color w:val="000000"/>
          <w:lang w:eastAsia="pt-BR"/>
        </w:rPr>
        <w:t xml:space="preserve">nos setores de inclusão social e </w:t>
      </w:r>
      <w:r w:rsidR="00A50FD7" w:rsidRPr="00A278B1">
        <w:rPr>
          <w:rFonts w:ascii="Arial" w:eastAsia="Times New Roman" w:hAnsi="Arial" w:cs="Arial"/>
          <w:color w:val="000000"/>
          <w:lang w:eastAsia="pt-BR"/>
        </w:rPr>
        <w:t>n</w:t>
      </w:r>
      <w:r w:rsidRPr="00A278B1">
        <w:rPr>
          <w:rFonts w:ascii="Arial" w:eastAsia="Times New Roman" w:hAnsi="Arial" w:cs="Arial"/>
          <w:color w:val="000000"/>
          <w:lang w:eastAsia="pt-BR"/>
        </w:rPr>
        <w:t xml:space="preserve">os setores de baixa exclusão social que são também onde está o maior percentual da população. Quando avaliamos a taxa de </w:t>
      </w:r>
      <w:r w:rsidR="00EC2E0F" w:rsidRPr="00A278B1">
        <w:rPr>
          <w:rFonts w:ascii="Arial" w:eastAsia="Times New Roman" w:hAnsi="Arial" w:cs="Arial"/>
          <w:color w:val="000000"/>
          <w:lang w:eastAsia="pt-BR"/>
        </w:rPr>
        <w:t>incidência estratificada</w:t>
      </w:r>
      <w:r w:rsidRPr="00A278B1">
        <w:rPr>
          <w:rFonts w:ascii="Arial" w:eastAsia="Times New Roman" w:hAnsi="Arial" w:cs="Arial"/>
          <w:color w:val="000000"/>
          <w:lang w:eastAsia="pt-BR"/>
        </w:rPr>
        <w:t xml:space="preserve"> pelas classes de inclusão/exclusão nota-se que os maiores valores foram registrados nesses mesmos setores. Algo a ser destacado é que a taxa de mortalidade se comportou de forma homogênea nestas quatro classes de setores com pouca diferença entre o menor índice para o maior (1,93).</w:t>
      </w:r>
    </w:p>
    <w:p w14:paraId="1E16F381" w14:textId="3DE06BC1" w:rsidR="002E78A7" w:rsidRPr="00A278B1" w:rsidRDefault="002E78A7" w:rsidP="002E78A7">
      <w:pPr>
        <w:spacing w:after="0" w:line="240" w:lineRule="auto"/>
        <w:rPr>
          <w:rFonts w:ascii="Arial" w:eastAsia="Times New Roman" w:hAnsi="Arial" w:cs="Arial"/>
          <w:sz w:val="24"/>
          <w:szCs w:val="24"/>
          <w:lang w:eastAsia="pt-BR"/>
        </w:rPr>
      </w:pPr>
    </w:p>
    <w:p w14:paraId="65929D75" w14:textId="5CA5CB81" w:rsidR="009A3279" w:rsidRPr="00A278B1" w:rsidRDefault="009A3279" w:rsidP="009A3279">
      <w:pPr>
        <w:spacing w:after="0" w:line="240" w:lineRule="auto"/>
        <w:jc w:val="center"/>
        <w:rPr>
          <w:rFonts w:ascii="Arial" w:eastAsia="Times New Roman" w:hAnsi="Arial" w:cs="Arial"/>
          <w:b/>
          <w:bCs/>
          <w:sz w:val="20"/>
          <w:szCs w:val="20"/>
          <w:lang w:eastAsia="pt-BR"/>
        </w:rPr>
      </w:pPr>
      <w:r w:rsidRPr="00A278B1">
        <w:rPr>
          <w:rFonts w:ascii="Arial" w:eastAsia="Times New Roman" w:hAnsi="Arial" w:cs="Arial"/>
          <w:b/>
          <w:bCs/>
          <w:sz w:val="20"/>
          <w:szCs w:val="20"/>
          <w:lang w:eastAsia="pt-BR"/>
        </w:rPr>
        <w:t xml:space="preserve">Tabela 3: </w:t>
      </w:r>
      <w:r w:rsidR="00215D27" w:rsidRPr="00A278B1">
        <w:rPr>
          <w:rFonts w:ascii="Arial" w:eastAsia="Times New Roman" w:hAnsi="Arial" w:cs="Arial"/>
          <w:b/>
          <w:bCs/>
          <w:sz w:val="20"/>
          <w:szCs w:val="20"/>
          <w:lang w:eastAsia="pt-BR"/>
        </w:rPr>
        <w:t>Representatividade das classes de exclusão/inclusão conforme o IEX-Q15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9"/>
        <w:gridCol w:w="1103"/>
        <w:gridCol w:w="1103"/>
        <w:gridCol w:w="1103"/>
        <w:gridCol w:w="1128"/>
        <w:gridCol w:w="1165"/>
        <w:gridCol w:w="1214"/>
      </w:tblGrid>
      <w:tr w:rsidR="00A95772" w:rsidRPr="00A278B1" w14:paraId="01CA2D4D" w14:textId="77777777" w:rsidTr="00135FF0">
        <w:trPr>
          <w:trHeight w:val="510"/>
        </w:trPr>
        <w:tc>
          <w:tcPr>
            <w:tcW w:w="1687" w:type="dxa"/>
            <w:shd w:val="clear" w:color="auto" w:fill="F2F2F2" w:themeFill="background1" w:themeFillShade="F2"/>
            <w:tcMar>
              <w:top w:w="40" w:type="dxa"/>
              <w:left w:w="40" w:type="dxa"/>
              <w:bottom w:w="40" w:type="dxa"/>
              <w:right w:w="40" w:type="dxa"/>
            </w:tcMar>
            <w:vAlign w:val="center"/>
            <w:hideMark/>
          </w:tcPr>
          <w:p w14:paraId="71885841" w14:textId="77777777" w:rsidR="002E78A7" w:rsidRPr="00A278B1" w:rsidRDefault="002E78A7" w:rsidP="00A95772">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IEX-Q15</w:t>
            </w:r>
          </w:p>
        </w:tc>
        <w:tc>
          <w:tcPr>
            <w:tcW w:w="1103" w:type="dxa"/>
            <w:shd w:val="clear" w:color="auto" w:fill="F2F2F2" w:themeFill="background1" w:themeFillShade="F2"/>
            <w:tcMar>
              <w:top w:w="40" w:type="dxa"/>
              <w:left w:w="40" w:type="dxa"/>
              <w:bottom w:w="40" w:type="dxa"/>
              <w:right w:w="40" w:type="dxa"/>
            </w:tcMar>
            <w:vAlign w:val="center"/>
            <w:hideMark/>
          </w:tcPr>
          <w:p w14:paraId="16AE9EE4" w14:textId="77777777" w:rsidR="002E78A7" w:rsidRPr="00A278B1" w:rsidRDefault="002E78A7" w:rsidP="00A95772">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Percentual de setores</w:t>
            </w:r>
          </w:p>
        </w:tc>
        <w:tc>
          <w:tcPr>
            <w:tcW w:w="1103" w:type="dxa"/>
            <w:shd w:val="clear" w:color="auto" w:fill="F2F2F2" w:themeFill="background1" w:themeFillShade="F2"/>
            <w:tcMar>
              <w:top w:w="40" w:type="dxa"/>
              <w:left w:w="40" w:type="dxa"/>
              <w:bottom w:w="40" w:type="dxa"/>
              <w:right w:w="40" w:type="dxa"/>
            </w:tcMar>
            <w:vAlign w:val="center"/>
            <w:hideMark/>
          </w:tcPr>
          <w:p w14:paraId="44124C3F" w14:textId="77777777" w:rsidR="002E78A7" w:rsidRPr="00A278B1" w:rsidRDefault="002E78A7" w:rsidP="00A95772">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Percentual por população</w:t>
            </w:r>
          </w:p>
        </w:tc>
        <w:tc>
          <w:tcPr>
            <w:tcW w:w="1103" w:type="dxa"/>
            <w:shd w:val="clear" w:color="auto" w:fill="F2F2F2" w:themeFill="background1" w:themeFillShade="F2"/>
            <w:tcMar>
              <w:top w:w="40" w:type="dxa"/>
              <w:left w:w="40" w:type="dxa"/>
              <w:bottom w:w="40" w:type="dxa"/>
              <w:right w:w="40" w:type="dxa"/>
            </w:tcMar>
            <w:vAlign w:val="center"/>
            <w:hideMark/>
          </w:tcPr>
          <w:p w14:paraId="0D03E84D" w14:textId="77777777" w:rsidR="002E78A7" w:rsidRPr="00A278B1" w:rsidRDefault="002E78A7" w:rsidP="00A95772">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Percentual por casos</w:t>
            </w:r>
          </w:p>
        </w:tc>
        <w:tc>
          <w:tcPr>
            <w:tcW w:w="1128" w:type="dxa"/>
            <w:shd w:val="clear" w:color="auto" w:fill="F2F2F2" w:themeFill="background1" w:themeFillShade="F2"/>
            <w:tcMar>
              <w:top w:w="40" w:type="dxa"/>
              <w:left w:w="40" w:type="dxa"/>
              <w:bottom w:w="40" w:type="dxa"/>
              <w:right w:w="40" w:type="dxa"/>
            </w:tcMar>
            <w:vAlign w:val="center"/>
            <w:hideMark/>
          </w:tcPr>
          <w:p w14:paraId="69F39C86" w14:textId="77777777" w:rsidR="002E78A7" w:rsidRPr="00A278B1" w:rsidRDefault="002E78A7" w:rsidP="00A95772">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Percentual por óbitos</w:t>
            </w:r>
          </w:p>
        </w:tc>
        <w:tc>
          <w:tcPr>
            <w:tcW w:w="1166" w:type="dxa"/>
            <w:shd w:val="clear" w:color="auto" w:fill="F2F2F2" w:themeFill="background1" w:themeFillShade="F2"/>
            <w:tcMar>
              <w:top w:w="40" w:type="dxa"/>
              <w:left w:w="40" w:type="dxa"/>
              <w:bottom w:w="40" w:type="dxa"/>
              <w:right w:w="40" w:type="dxa"/>
            </w:tcMar>
            <w:vAlign w:val="center"/>
            <w:hideMark/>
          </w:tcPr>
          <w:p w14:paraId="41C8B69E" w14:textId="77777777" w:rsidR="002E78A7" w:rsidRPr="00A278B1" w:rsidRDefault="002E78A7" w:rsidP="00A95772">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Taxa de incidência por 10.000 hab.</w:t>
            </w:r>
          </w:p>
        </w:tc>
        <w:tc>
          <w:tcPr>
            <w:tcW w:w="1214" w:type="dxa"/>
            <w:shd w:val="clear" w:color="auto" w:fill="F2F2F2" w:themeFill="background1" w:themeFillShade="F2"/>
            <w:tcMar>
              <w:top w:w="40" w:type="dxa"/>
              <w:left w:w="40" w:type="dxa"/>
              <w:bottom w:w="40" w:type="dxa"/>
              <w:right w:w="40" w:type="dxa"/>
            </w:tcMar>
            <w:vAlign w:val="center"/>
            <w:hideMark/>
          </w:tcPr>
          <w:p w14:paraId="4C12A17E" w14:textId="77777777" w:rsidR="002E78A7" w:rsidRPr="00A278B1" w:rsidRDefault="002E78A7" w:rsidP="00A95772">
            <w:pPr>
              <w:spacing w:after="0" w:line="240" w:lineRule="auto"/>
              <w:jc w:val="center"/>
              <w:rPr>
                <w:rFonts w:ascii="Arial" w:eastAsia="Times New Roman" w:hAnsi="Arial" w:cs="Arial"/>
                <w:b/>
                <w:bCs/>
                <w:sz w:val="24"/>
                <w:szCs w:val="24"/>
                <w:lang w:eastAsia="pt-BR"/>
              </w:rPr>
            </w:pPr>
            <w:r w:rsidRPr="00A278B1">
              <w:rPr>
                <w:rFonts w:ascii="Arial" w:eastAsia="Times New Roman" w:hAnsi="Arial" w:cs="Arial"/>
                <w:b/>
                <w:bCs/>
                <w:color w:val="000000"/>
                <w:sz w:val="20"/>
                <w:szCs w:val="20"/>
                <w:lang w:eastAsia="pt-BR"/>
              </w:rPr>
              <w:t>Taxa de mortalidade por 10.000 hab.</w:t>
            </w:r>
          </w:p>
        </w:tc>
      </w:tr>
      <w:tr w:rsidR="00A95772" w:rsidRPr="00A278B1" w14:paraId="56B4D82B" w14:textId="77777777" w:rsidTr="00135FF0">
        <w:trPr>
          <w:trHeight w:val="315"/>
        </w:trPr>
        <w:tc>
          <w:tcPr>
            <w:tcW w:w="1687" w:type="dxa"/>
            <w:shd w:val="clear" w:color="auto" w:fill="FFFFFF"/>
            <w:tcMar>
              <w:top w:w="40" w:type="dxa"/>
              <w:left w:w="40" w:type="dxa"/>
              <w:bottom w:w="40" w:type="dxa"/>
              <w:right w:w="40" w:type="dxa"/>
            </w:tcMar>
            <w:vAlign w:val="center"/>
            <w:hideMark/>
          </w:tcPr>
          <w:p w14:paraId="4438A43C"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Inclusão Social</w:t>
            </w:r>
          </w:p>
        </w:tc>
        <w:tc>
          <w:tcPr>
            <w:tcW w:w="1103" w:type="dxa"/>
            <w:shd w:val="clear" w:color="auto" w:fill="FFFFFF"/>
            <w:tcMar>
              <w:top w:w="40" w:type="dxa"/>
              <w:left w:w="40" w:type="dxa"/>
              <w:bottom w:w="40" w:type="dxa"/>
              <w:right w:w="40" w:type="dxa"/>
            </w:tcMar>
            <w:vAlign w:val="center"/>
            <w:hideMark/>
          </w:tcPr>
          <w:p w14:paraId="4C0173A8"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36,66%</w:t>
            </w:r>
          </w:p>
        </w:tc>
        <w:tc>
          <w:tcPr>
            <w:tcW w:w="1103" w:type="dxa"/>
            <w:shd w:val="clear" w:color="auto" w:fill="FFFFFF"/>
            <w:tcMar>
              <w:top w:w="40" w:type="dxa"/>
              <w:left w:w="40" w:type="dxa"/>
              <w:bottom w:w="40" w:type="dxa"/>
              <w:right w:w="40" w:type="dxa"/>
            </w:tcMar>
            <w:vAlign w:val="center"/>
            <w:hideMark/>
          </w:tcPr>
          <w:p w14:paraId="6EBEC70D"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34,57%</w:t>
            </w:r>
          </w:p>
        </w:tc>
        <w:tc>
          <w:tcPr>
            <w:tcW w:w="1103" w:type="dxa"/>
            <w:shd w:val="clear" w:color="auto" w:fill="FFFFFF"/>
            <w:tcMar>
              <w:top w:w="40" w:type="dxa"/>
              <w:left w:w="40" w:type="dxa"/>
              <w:bottom w:w="40" w:type="dxa"/>
              <w:right w:w="40" w:type="dxa"/>
            </w:tcMar>
            <w:vAlign w:val="center"/>
            <w:hideMark/>
          </w:tcPr>
          <w:p w14:paraId="27E72174"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38,92%</w:t>
            </w:r>
          </w:p>
        </w:tc>
        <w:tc>
          <w:tcPr>
            <w:tcW w:w="1128" w:type="dxa"/>
            <w:shd w:val="clear" w:color="auto" w:fill="FFFFFF"/>
            <w:tcMar>
              <w:top w:w="40" w:type="dxa"/>
              <w:left w:w="40" w:type="dxa"/>
              <w:bottom w:w="40" w:type="dxa"/>
              <w:right w:w="40" w:type="dxa"/>
            </w:tcMar>
            <w:vAlign w:val="center"/>
            <w:hideMark/>
          </w:tcPr>
          <w:p w14:paraId="68FB2FFC"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35,99%</w:t>
            </w:r>
          </w:p>
        </w:tc>
        <w:tc>
          <w:tcPr>
            <w:tcW w:w="1166" w:type="dxa"/>
            <w:shd w:val="clear" w:color="auto" w:fill="FFFFFF"/>
            <w:tcMar>
              <w:top w:w="40" w:type="dxa"/>
              <w:left w:w="40" w:type="dxa"/>
              <w:bottom w:w="40" w:type="dxa"/>
              <w:right w:w="40" w:type="dxa"/>
            </w:tcMar>
            <w:vAlign w:val="center"/>
            <w:hideMark/>
          </w:tcPr>
          <w:p w14:paraId="076CD661"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1129,68</w:t>
            </w:r>
          </w:p>
        </w:tc>
        <w:tc>
          <w:tcPr>
            <w:tcW w:w="1214" w:type="dxa"/>
            <w:shd w:val="clear" w:color="auto" w:fill="FFFFFF"/>
            <w:tcMar>
              <w:top w:w="40" w:type="dxa"/>
              <w:left w:w="40" w:type="dxa"/>
              <w:bottom w:w="40" w:type="dxa"/>
              <w:right w:w="40" w:type="dxa"/>
            </w:tcMar>
            <w:vAlign w:val="center"/>
            <w:hideMark/>
          </w:tcPr>
          <w:p w14:paraId="7568F611"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17,23</w:t>
            </w:r>
          </w:p>
        </w:tc>
      </w:tr>
      <w:tr w:rsidR="00A95772" w:rsidRPr="00A278B1" w14:paraId="3BCA72AA" w14:textId="77777777" w:rsidTr="00135FF0">
        <w:trPr>
          <w:trHeight w:val="315"/>
        </w:trPr>
        <w:tc>
          <w:tcPr>
            <w:tcW w:w="1687" w:type="dxa"/>
            <w:shd w:val="clear" w:color="auto" w:fill="FFFFFF"/>
            <w:tcMar>
              <w:top w:w="40" w:type="dxa"/>
              <w:left w:w="40" w:type="dxa"/>
              <w:bottom w:w="40" w:type="dxa"/>
              <w:right w:w="40" w:type="dxa"/>
            </w:tcMar>
            <w:vAlign w:val="center"/>
            <w:hideMark/>
          </w:tcPr>
          <w:p w14:paraId="72D5DC55"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Baixa Exclusão Social</w:t>
            </w:r>
          </w:p>
        </w:tc>
        <w:tc>
          <w:tcPr>
            <w:tcW w:w="1103" w:type="dxa"/>
            <w:shd w:val="clear" w:color="auto" w:fill="FFFFFF"/>
            <w:tcMar>
              <w:top w:w="40" w:type="dxa"/>
              <w:left w:w="40" w:type="dxa"/>
              <w:bottom w:w="40" w:type="dxa"/>
              <w:right w:w="40" w:type="dxa"/>
            </w:tcMar>
            <w:vAlign w:val="center"/>
            <w:hideMark/>
          </w:tcPr>
          <w:p w14:paraId="1172AC9B"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31,09%</w:t>
            </w:r>
          </w:p>
        </w:tc>
        <w:tc>
          <w:tcPr>
            <w:tcW w:w="1103" w:type="dxa"/>
            <w:shd w:val="clear" w:color="auto" w:fill="FFFFFF"/>
            <w:tcMar>
              <w:top w:w="40" w:type="dxa"/>
              <w:left w:w="40" w:type="dxa"/>
              <w:bottom w:w="40" w:type="dxa"/>
              <w:right w:w="40" w:type="dxa"/>
            </w:tcMar>
            <w:vAlign w:val="center"/>
            <w:hideMark/>
          </w:tcPr>
          <w:p w14:paraId="7754765F"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29,96%</w:t>
            </w:r>
          </w:p>
        </w:tc>
        <w:tc>
          <w:tcPr>
            <w:tcW w:w="1103" w:type="dxa"/>
            <w:shd w:val="clear" w:color="auto" w:fill="FFFFFF"/>
            <w:tcMar>
              <w:top w:w="40" w:type="dxa"/>
              <w:left w:w="40" w:type="dxa"/>
              <w:bottom w:w="40" w:type="dxa"/>
              <w:right w:w="40" w:type="dxa"/>
            </w:tcMar>
            <w:vAlign w:val="center"/>
            <w:hideMark/>
          </w:tcPr>
          <w:p w14:paraId="7E4DFFF6"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31,08%</w:t>
            </w:r>
          </w:p>
        </w:tc>
        <w:tc>
          <w:tcPr>
            <w:tcW w:w="1128" w:type="dxa"/>
            <w:shd w:val="clear" w:color="auto" w:fill="FFFFFF"/>
            <w:tcMar>
              <w:top w:w="40" w:type="dxa"/>
              <w:left w:w="40" w:type="dxa"/>
              <w:bottom w:w="40" w:type="dxa"/>
              <w:right w:w="40" w:type="dxa"/>
            </w:tcMar>
            <w:vAlign w:val="center"/>
            <w:hideMark/>
          </w:tcPr>
          <w:p w14:paraId="11617E7A"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30,67%</w:t>
            </w:r>
          </w:p>
        </w:tc>
        <w:tc>
          <w:tcPr>
            <w:tcW w:w="1166" w:type="dxa"/>
            <w:shd w:val="clear" w:color="auto" w:fill="FFFFFF"/>
            <w:tcMar>
              <w:top w:w="40" w:type="dxa"/>
              <w:left w:w="40" w:type="dxa"/>
              <w:bottom w:w="40" w:type="dxa"/>
              <w:right w:w="40" w:type="dxa"/>
            </w:tcMar>
            <w:vAlign w:val="center"/>
            <w:hideMark/>
          </w:tcPr>
          <w:p w14:paraId="643DB668"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1040,84</w:t>
            </w:r>
          </w:p>
        </w:tc>
        <w:tc>
          <w:tcPr>
            <w:tcW w:w="1214" w:type="dxa"/>
            <w:shd w:val="clear" w:color="auto" w:fill="FFFFFF"/>
            <w:tcMar>
              <w:top w:w="40" w:type="dxa"/>
              <w:left w:w="40" w:type="dxa"/>
              <w:bottom w:w="40" w:type="dxa"/>
              <w:right w:w="40" w:type="dxa"/>
            </w:tcMar>
            <w:vAlign w:val="center"/>
            <w:hideMark/>
          </w:tcPr>
          <w:p w14:paraId="2E8B9471"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16,94</w:t>
            </w:r>
          </w:p>
        </w:tc>
      </w:tr>
      <w:tr w:rsidR="00A95772" w:rsidRPr="00A278B1" w14:paraId="378F9293" w14:textId="77777777" w:rsidTr="00135FF0">
        <w:trPr>
          <w:trHeight w:val="315"/>
        </w:trPr>
        <w:tc>
          <w:tcPr>
            <w:tcW w:w="1687" w:type="dxa"/>
            <w:shd w:val="clear" w:color="auto" w:fill="FFFFFF"/>
            <w:tcMar>
              <w:top w:w="40" w:type="dxa"/>
              <w:left w:w="40" w:type="dxa"/>
              <w:bottom w:w="40" w:type="dxa"/>
              <w:right w:w="40" w:type="dxa"/>
            </w:tcMar>
            <w:vAlign w:val="center"/>
            <w:hideMark/>
          </w:tcPr>
          <w:p w14:paraId="609DC5C3"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Média Exclusão Social</w:t>
            </w:r>
          </w:p>
        </w:tc>
        <w:tc>
          <w:tcPr>
            <w:tcW w:w="1103" w:type="dxa"/>
            <w:shd w:val="clear" w:color="auto" w:fill="FFFFFF"/>
            <w:tcMar>
              <w:top w:w="40" w:type="dxa"/>
              <w:left w:w="40" w:type="dxa"/>
              <w:bottom w:w="40" w:type="dxa"/>
              <w:right w:w="40" w:type="dxa"/>
            </w:tcMar>
            <w:vAlign w:val="center"/>
            <w:hideMark/>
          </w:tcPr>
          <w:p w14:paraId="1FB8BA29"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23,22%</w:t>
            </w:r>
          </w:p>
        </w:tc>
        <w:tc>
          <w:tcPr>
            <w:tcW w:w="1103" w:type="dxa"/>
            <w:shd w:val="clear" w:color="auto" w:fill="FFFFFF"/>
            <w:tcMar>
              <w:top w:w="40" w:type="dxa"/>
              <w:left w:w="40" w:type="dxa"/>
              <w:bottom w:w="40" w:type="dxa"/>
              <w:right w:w="40" w:type="dxa"/>
            </w:tcMar>
            <w:vAlign w:val="center"/>
            <w:hideMark/>
          </w:tcPr>
          <w:p w14:paraId="0CCA7517"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23,96%</w:t>
            </w:r>
          </w:p>
        </w:tc>
        <w:tc>
          <w:tcPr>
            <w:tcW w:w="1103" w:type="dxa"/>
            <w:shd w:val="clear" w:color="auto" w:fill="FFFFFF"/>
            <w:tcMar>
              <w:top w:w="40" w:type="dxa"/>
              <w:left w:w="40" w:type="dxa"/>
              <w:bottom w:w="40" w:type="dxa"/>
              <w:right w:w="40" w:type="dxa"/>
            </w:tcMar>
            <w:vAlign w:val="center"/>
            <w:hideMark/>
          </w:tcPr>
          <w:p w14:paraId="4DFA9DB0"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21,26%</w:t>
            </w:r>
          </w:p>
        </w:tc>
        <w:tc>
          <w:tcPr>
            <w:tcW w:w="1128" w:type="dxa"/>
            <w:shd w:val="clear" w:color="auto" w:fill="FFFFFF"/>
            <w:tcMar>
              <w:top w:w="40" w:type="dxa"/>
              <w:left w:w="40" w:type="dxa"/>
              <w:bottom w:w="40" w:type="dxa"/>
              <w:right w:w="40" w:type="dxa"/>
            </w:tcMar>
            <w:vAlign w:val="center"/>
            <w:hideMark/>
          </w:tcPr>
          <w:p w14:paraId="22805AD5"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22,70%</w:t>
            </w:r>
          </w:p>
        </w:tc>
        <w:tc>
          <w:tcPr>
            <w:tcW w:w="1166" w:type="dxa"/>
            <w:shd w:val="clear" w:color="auto" w:fill="FFFFFF"/>
            <w:tcMar>
              <w:top w:w="40" w:type="dxa"/>
              <w:left w:w="40" w:type="dxa"/>
              <w:bottom w:w="40" w:type="dxa"/>
              <w:right w:w="40" w:type="dxa"/>
            </w:tcMar>
            <w:vAlign w:val="center"/>
            <w:hideMark/>
          </w:tcPr>
          <w:p w14:paraId="31295474"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890,58</w:t>
            </w:r>
          </w:p>
        </w:tc>
        <w:tc>
          <w:tcPr>
            <w:tcW w:w="1214" w:type="dxa"/>
            <w:shd w:val="clear" w:color="auto" w:fill="FFFFFF"/>
            <w:tcMar>
              <w:top w:w="40" w:type="dxa"/>
              <w:left w:w="40" w:type="dxa"/>
              <w:bottom w:w="40" w:type="dxa"/>
              <w:right w:w="40" w:type="dxa"/>
            </w:tcMar>
            <w:vAlign w:val="center"/>
            <w:hideMark/>
          </w:tcPr>
          <w:p w14:paraId="1999AD07"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15,68</w:t>
            </w:r>
          </w:p>
        </w:tc>
      </w:tr>
      <w:tr w:rsidR="00A95772" w:rsidRPr="00A278B1" w14:paraId="26FE05F5" w14:textId="77777777" w:rsidTr="00135FF0">
        <w:trPr>
          <w:trHeight w:val="315"/>
        </w:trPr>
        <w:tc>
          <w:tcPr>
            <w:tcW w:w="1687" w:type="dxa"/>
            <w:shd w:val="clear" w:color="auto" w:fill="FFFFFF"/>
            <w:tcMar>
              <w:top w:w="40" w:type="dxa"/>
              <w:left w:w="40" w:type="dxa"/>
              <w:bottom w:w="40" w:type="dxa"/>
              <w:right w:w="40" w:type="dxa"/>
            </w:tcMar>
            <w:vAlign w:val="center"/>
            <w:hideMark/>
          </w:tcPr>
          <w:p w14:paraId="19F6F19D"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Alta Exclusão Social</w:t>
            </w:r>
          </w:p>
        </w:tc>
        <w:tc>
          <w:tcPr>
            <w:tcW w:w="1103" w:type="dxa"/>
            <w:shd w:val="clear" w:color="auto" w:fill="FFFFFF"/>
            <w:tcMar>
              <w:top w:w="40" w:type="dxa"/>
              <w:left w:w="40" w:type="dxa"/>
              <w:bottom w:w="40" w:type="dxa"/>
              <w:right w:w="40" w:type="dxa"/>
            </w:tcMar>
            <w:vAlign w:val="center"/>
            <w:hideMark/>
          </w:tcPr>
          <w:p w14:paraId="319FD034"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9,02%</w:t>
            </w:r>
          </w:p>
        </w:tc>
        <w:tc>
          <w:tcPr>
            <w:tcW w:w="1103" w:type="dxa"/>
            <w:shd w:val="clear" w:color="auto" w:fill="FFFFFF"/>
            <w:tcMar>
              <w:top w:w="40" w:type="dxa"/>
              <w:left w:w="40" w:type="dxa"/>
              <w:bottom w:w="40" w:type="dxa"/>
              <w:right w:w="40" w:type="dxa"/>
            </w:tcMar>
            <w:vAlign w:val="center"/>
            <w:hideMark/>
          </w:tcPr>
          <w:p w14:paraId="5B032F42"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11,51%</w:t>
            </w:r>
          </w:p>
        </w:tc>
        <w:tc>
          <w:tcPr>
            <w:tcW w:w="1103" w:type="dxa"/>
            <w:shd w:val="clear" w:color="auto" w:fill="FFFFFF"/>
            <w:tcMar>
              <w:top w:w="40" w:type="dxa"/>
              <w:left w:w="40" w:type="dxa"/>
              <w:bottom w:w="40" w:type="dxa"/>
              <w:right w:w="40" w:type="dxa"/>
            </w:tcMar>
            <w:vAlign w:val="center"/>
            <w:hideMark/>
          </w:tcPr>
          <w:p w14:paraId="2438E50C"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8,75%</w:t>
            </w:r>
          </w:p>
        </w:tc>
        <w:tc>
          <w:tcPr>
            <w:tcW w:w="1128" w:type="dxa"/>
            <w:shd w:val="clear" w:color="auto" w:fill="FFFFFF"/>
            <w:tcMar>
              <w:top w:w="40" w:type="dxa"/>
              <w:left w:w="40" w:type="dxa"/>
              <w:bottom w:w="40" w:type="dxa"/>
              <w:right w:w="40" w:type="dxa"/>
            </w:tcMar>
            <w:vAlign w:val="center"/>
            <w:hideMark/>
          </w:tcPr>
          <w:p w14:paraId="35B7D0AE"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10,64%</w:t>
            </w:r>
          </w:p>
        </w:tc>
        <w:tc>
          <w:tcPr>
            <w:tcW w:w="1166" w:type="dxa"/>
            <w:shd w:val="clear" w:color="auto" w:fill="FFFFFF"/>
            <w:tcMar>
              <w:top w:w="40" w:type="dxa"/>
              <w:left w:w="40" w:type="dxa"/>
              <w:bottom w:w="40" w:type="dxa"/>
              <w:right w:w="40" w:type="dxa"/>
            </w:tcMar>
            <w:vAlign w:val="center"/>
            <w:hideMark/>
          </w:tcPr>
          <w:p w14:paraId="67CD7C73"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762,56</w:t>
            </w:r>
          </w:p>
        </w:tc>
        <w:tc>
          <w:tcPr>
            <w:tcW w:w="1214" w:type="dxa"/>
            <w:shd w:val="clear" w:color="auto" w:fill="FFFFFF"/>
            <w:tcMar>
              <w:top w:w="40" w:type="dxa"/>
              <w:left w:w="40" w:type="dxa"/>
              <w:bottom w:w="40" w:type="dxa"/>
              <w:right w:w="40" w:type="dxa"/>
            </w:tcMar>
            <w:vAlign w:val="center"/>
            <w:hideMark/>
          </w:tcPr>
          <w:p w14:paraId="512C2E6E" w14:textId="77777777" w:rsidR="002E78A7" w:rsidRPr="00A278B1" w:rsidRDefault="002E78A7" w:rsidP="00A95772">
            <w:pPr>
              <w:spacing w:after="0" w:line="240" w:lineRule="auto"/>
              <w:jc w:val="center"/>
              <w:rPr>
                <w:rFonts w:ascii="Arial" w:eastAsia="Times New Roman" w:hAnsi="Arial" w:cs="Arial"/>
                <w:sz w:val="24"/>
                <w:szCs w:val="24"/>
                <w:lang w:eastAsia="pt-BR"/>
              </w:rPr>
            </w:pPr>
            <w:r w:rsidRPr="00A278B1">
              <w:rPr>
                <w:rFonts w:ascii="Arial" w:eastAsia="Times New Roman" w:hAnsi="Arial" w:cs="Arial"/>
                <w:color w:val="000000"/>
                <w:sz w:val="20"/>
                <w:szCs w:val="20"/>
                <w:lang w:eastAsia="pt-BR"/>
              </w:rPr>
              <w:t>15,3</w:t>
            </w:r>
          </w:p>
        </w:tc>
      </w:tr>
    </w:tbl>
    <w:p w14:paraId="72B904F3" w14:textId="77777777" w:rsidR="00A95772" w:rsidRPr="00A278B1" w:rsidRDefault="00A95772" w:rsidP="00A95772">
      <w:pPr>
        <w:spacing w:after="0" w:line="240" w:lineRule="auto"/>
        <w:rPr>
          <w:rFonts w:ascii="Arial" w:eastAsia="Times New Roman" w:hAnsi="Arial" w:cs="Arial"/>
          <w:sz w:val="20"/>
          <w:szCs w:val="20"/>
          <w:lang w:eastAsia="pt-BR"/>
        </w:rPr>
      </w:pPr>
      <w:r w:rsidRPr="00A278B1">
        <w:rPr>
          <w:rFonts w:ascii="Arial" w:eastAsia="Times New Roman" w:hAnsi="Arial" w:cs="Arial"/>
          <w:sz w:val="20"/>
          <w:szCs w:val="20"/>
          <w:lang w:eastAsia="pt-BR"/>
        </w:rPr>
        <w:t>Elaboração: Autores, 2021</w:t>
      </w:r>
    </w:p>
    <w:p w14:paraId="3EFFC00F" w14:textId="77777777" w:rsidR="00A95772" w:rsidRPr="00A278B1" w:rsidRDefault="00A95772" w:rsidP="00A95772">
      <w:pPr>
        <w:spacing w:after="0" w:line="240" w:lineRule="auto"/>
        <w:rPr>
          <w:rFonts w:ascii="Arial" w:eastAsia="Times New Roman" w:hAnsi="Arial" w:cs="Arial"/>
          <w:sz w:val="20"/>
          <w:szCs w:val="20"/>
          <w:lang w:eastAsia="pt-BR"/>
        </w:rPr>
      </w:pPr>
      <w:r w:rsidRPr="00A278B1">
        <w:rPr>
          <w:rFonts w:ascii="Arial" w:eastAsia="Times New Roman" w:hAnsi="Arial" w:cs="Arial"/>
          <w:sz w:val="20"/>
          <w:szCs w:val="20"/>
          <w:lang w:eastAsia="pt-BR"/>
        </w:rPr>
        <w:lastRenderedPageBreak/>
        <w:t xml:space="preserve">Fonte de dados: Secretaria Municipal de Saúde, 2010; IBGE; 2020; </w:t>
      </w:r>
      <w:proofErr w:type="spellStart"/>
      <w:r w:rsidRPr="00A278B1">
        <w:rPr>
          <w:rFonts w:ascii="Arial" w:eastAsia="Times New Roman" w:hAnsi="Arial" w:cs="Arial"/>
          <w:sz w:val="20"/>
          <w:szCs w:val="20"/>
          <w:lang w:eastAsia="pt-BR"/>
        </w:rPr>
        <w:t>Gepag</w:t>
      </w:r>
      <w:proofErr w:type="spellEnd"/>
      <w:r w:rsidRPr="00A278B1">
        <w:rPr>
          <w:rFonts w:ascii="Arial" w:eastAsia="Times New Roman" w:hAnsi="Arial" w:cs="Arial"/>
          <w:sz w:val="20"/>
          <w:szCs w:val="20"/>
          <w:lang w:eastAsia="pt-BR"/>
        </w:rPr>
        <w:t>/</w:t>
      </w:r>
      <w:proofErr w:type="spellStart"/>
      <w:r w:rsidRPr="00A278B1">
        <w:rPr>
          <w:rFonts w:ascii="Arial" w:eastAsia="Times New Roman" w:hAnsi="Arial" w:cs="Arial"/>
          <w:sz w:val="20"/>
          <w:szCs w:val="20"/>
          <w:lang w:eastAsia="pt-BR"/>
        </w:rPr>
        <w:t>Uem</w:t>
      </w:r>
      <w:proofErr w:type="spellEnd"/>
      <w:r w:rsidRPr="00A278B1">
        <w:rPr>
          <w:rFonts w:ascii="Arial" w:eastAsia="Times New Roman" w:hAnsi="Arial" w:cs="Arial"/>
          <w:sz w:val="20"/>
          <w:szCs w:val="20"/>
          <w:lang w:eastAsia="pt-BR"/>
        </w:rPr>
        <w:t>, 2021</w:t>
      </w:r>
    </w:p>
    <w:p w14:paraId="7A37533B" w14:textId="7A013357" w:rsidR="002E78A7" w:rsidRPr="00A278B1" w:rsidRDefault="002E78A7" w:rsidP="002E78A7">
      <w:pPr>
        <w:spacing w:after="0" w:line="240" w:lineRule="auto"/>
        <w:rPr>
          <w:rFonts w:ascii="Arial" w:eastAsia="Times New Roman" w:hAnsi="Arial" w:cs="Arial"/>
          <w:sz w:val="24"/>
          <w:szCs w:val="24"/>
          <w:lang w:eastAsia="pt-BR"/>
        </w:rPr>
      </w:pPr>
    </w:p>
    <w:p w14:paraId="3780E65C" w14:textId="5F7D0D2C" w:rsidR="002E78A7" w:rsidRPr="00A278B1" w:rsidRDefault="002E78A7" w:rsidP="00215D27">
      <w:pPr>
        <w:spacing w:before="240" w:after="0" w:line="276" w:lineRule="auto"/>
        <w:ind w:firstLine="720"/>
        <w:jc w:val="both"/>
        <w:rPr>
          <w:rFonts w:ascii="Arial" w:eastAsia="Times New Roman" w:hAnsi="Arial" w:cs="Arial"/>
          <w:lang w:eastAsia="pt-BR"/>
        </w:rPr>
      </w:pPr>
      <w:r w:rsidRPr="00A278B1">
        <w:rPr>
          <w:rFonts w:ascii="Arial" w:eastAsia="Times New Roman" w:hAnsi="Arial" w:cs="Arial"/>
          <w:color w:val="000000"/>
          <w:lang w:eastAsia="pt-BR"/>
        </w:rPr>
        <w:t xml:space="preserve">Assim como ocorreu com o cálculo do coeficiente </w:t>
      </w:r>
      <w:r w:rsidR="00A50FD7" w:rsidRPr="00A278B1">
        <w:rPr>
          <w:rFonts w:ascii="Arial" w:eastAsia="Times New Roman" w:hAnsi="Arial" w:cs="Arial"/>
          <w:color w:val="000000"/>
          <w:lang w:eastAsia="pt-BR"/>
        </w:rPr>
        <w:t xml:space="preserve">Pearson </w:t>
      </w:r>
      <w:r w:rsidRPr="00A278B1">
        <w:rPr>
          <w:rFonts w:ascii="Arial" w:eastAsia="Times New Roman" w:hAnsi="Arial" w:cs="Arial"/>
          <w:color w:val="000000"/>
          <w:lang w:eastAsia="pt-BR"/>
        </w:rPr>
        <w:t xml:space="preserve">para a correlação do item anterior, a correlação entre o IEX-Q15 e a incidência de casos por 10000 </w:t>
      </w:r>
      <w:r w:rsidR="00DA0E49" w:rsidRPr="00A278B1">
        <w:rPr>
          <w:rFonts w:ascii="Arial" w:eastAsia="Times New Roman" w:hAnsi="Arial" w:cs="Arial"/>
          <w:color w:val="000000"/>
          <w:lang w:eastAsia="pt-BR"/>
        </w:rPr>
        <w:t>hab.</w:t>
      </w:r>
      <w:r w:rsidRPr="00A278B1">
        <w:rPr>
          <w:rFonts w:ascii="Arial" w:eastAsia="Times New Roman" w:hAnsi="Arial" w:cs="Arial"/>
          <w:color w:val="000000"/>
          <w:lang w:eastAsia="pt-BR"/>
        </w:rPr>
        <w:t xml:space="preserve"> de cada setor censitário, apresentou valores próximos de 0 nos períodos avaliados demonstrando também que a correlação entre essas variáveis foi praticamente nula. </w:t>
      </w:r>
    </w:p>
    <w:p w14:paraId="67122EDC" w14:textId="43ADDE04" w:rsidR="002E78A7" w:rsidRDefault="002E78A7" w:rsidP="00215D27">
      <w:pPr>
        <w:spacing w:before="240" w:after="0" w:line="276" w:lineRule="auto"/>
        <w:ind w:firstLine="720"/>
        <w:jc w:val="both"/>
        <w:rPr>
          <w:rFonts w:ascii="Arial" w:eastAsia="Times New Roman" w:hAnsi="Arial" w:cs="Arial"/>
          <w:color w:val="000000"/>
          <w:lang w:eastAsia="pt-BR"/>
        </w:rPr>
      </w:pPr>
      <w:r w:rsidRPr="00A278B1">
        <w:rPr>
          <w:rFonts w:ascii="Arial" w:eastAsia="Times New Roman" w:hAnsi="Arial" w:cs="Arial"/>
          <w:color w:val="000000"/>
          <w:lang w:eastAsia="pt-BR"/>
        </w:rPr>
        <w:t>Para a aplicação do coeficiente para estimar a correlação da taxa de mortalidade por covid-19 e o IEX-Q15 o valor obtido foi de -0,036, indicando que não há correlação entre elas.</w:t>
      </w:r>
    </w:p>
    <w:p w14:paraId="78AB74FA" w14:textId="65769B83" w:rsidR="002E78A7" w:rsidRPr="00A278B1" w:rsidRDefault="00AD1A1C" w:rsidP="00215D27">
      <w:pPr>
        <w:spacing w:before="240" w:after="0" w:line="240" w:lineRule="auto"/>
        <w:jc w:val="center"/>
        <w:rPr>
          <w:rFonts w:ascii="Arial" w:eastAsia="Times New Roman" w:hAnsi="Arial" w:cs="Arial"/>
          <w:lang w:eastAsia="pt-BR"/>
        </w:rPr>
      </w:pPr>
      <w:r w:rsidRPr="00A278B1">
        <w:rPr>
          <w:rFonts w:ascii="Arial" w:eastAsia="Times New Roman" w:hAnsi="Arial" w:cs="Arial"/>
          <w:b/>
          <w:bCs/>
          <w:color w:val="000000"/>
          <w:lang w:eastAsia="pt-BR"/>
        </w:rPr>
        <w:t>Tabela</w:t>
      </w:r>
      <w:r w:rsidR="00F75B4D" w:rsidRPr="00A278B1">
        <w:rPr>
          <w:rFonts w:ascii="Arial" w:eastAsia="Times New Roman" w:hAnsi="Arial" w:cs="Arial"/>
          <w:b/>
          <w:bCs/>
          <w:color w:val="000000"/>
          <w:lang w:eastAsia="pt-BR"/>
        </w:rPr>
        <w:t xml:space="preserve"> 4</w:t>
      </w:r>
      <w:r w:rsidRPr="00A278B1">
        <w:rPr>
          <w:rFonts w:ascii="Arial" w:eastAsia="Times New Roman" w:hAnsi="Arial" w:cs="Arial"/>
          <w:b/>
          <w:bCs/>
          <w:color w:val="000000"/>
          <w:lang w:eastAsia="pt-BR"/>
        </w:rPr>
        <w:t xml:space="preserve">: </w:t>
      </w:r>
      <w:r w:rsidR="002E78A7" w:rsidRPr="00A278B1">
        <w:rPr>
          <w:rFonts w:ascii="Arial" w:eastAsia="Times New Roman" w:hAnsi="Arial" w:cs="Arial"/>
          <w:b/>
          <w:bCs/>
          <w:color w:val="000000"/>
          <w:lang w:eastAsia="pt-BR"/>
        </w:rPr>
        <w:t xml:space="preserve">Grau de correlação entre taxa de incidência de casos (casos/10.000hab) e o </w:t>
      </w:r>
      <w:r w:rsidR="00DA0E49" w:rsidRPr="00A278B1">
        <w:rPr>
          <w:rFonts w:ascii="Arial" w:eastAsia="Times New Roman" w:hAnsi="Arial" w:cs="Arial"/>
          <w:b/>
          <w:bCs/>
          <w:color w:val="000000"/>
          <w:lang w:eastAsia="pt-BR"/>
        </w:rPr>
        <w:t>índice</w:t>
      </w:r>
      <w:r w:rsidR="002E78A7" w:rsidRPr="00A278B1">
        <w:rPr>
          <w:rFonts w:ascii="Arial" w:eastAsia="Times New Roman" w:hAnsi="Arial" w:cs="Arial"/>
          <w:b/>
          <w:bCs/>
          <w:color w:val="000000"/>
          <w:lang w:eastAsia="pt-BR"/>
        </w:rPr>
        <w:t xml:space="preserve"> de exclusão/inclusão social (D15)</w:t>
      </w:r>
    </w:p>
    <w:p w14:paraId="739F726F" w14:textId="1F2DFEDF" w:rsidR="002E78A7" w:rsidRPr="00A278B1" w:rsidRDefault="002E78A7" w:rsidP="002E78A7">
      <w:pPr>
        <w:spacing w:after="0" w:line="240" w:lineRule="auto"/>
        <w:rPr>
          <w:rFonts w:ascii="Arial" w:eastAsia="Times New Roman" w:hAnsi="Arial" w:cs="Arial"/>
          <w:lang w:eastAsia="pt-BR"/>
        </w:rPr>
      </w:pPr>
    </w:p>
    <w:tbl>
      <w:tblPr>
        <w:tblStyle w:val="Tabelacomgrade"/>
        <w:tblW w:w="0" w:type="auto"/>
        <w:tblInd w:w="1413" w:type="dxa"/>
        <w:tblLook w:val="04A0" w:firstRow="1" w:lastRow="0" w:firstColumn="1" w:lastColumn="0" w:noHBand="0" w:noVBand="1"/>
      </w:tblPr>
      <w:tblGrid>
        <w:gridCol w:w="2834"/>
        <w:gridCol w:w="2694"/>
      </w:tblGrid>
      <w:tr w:rsidR="00AD1A1C" w:rsidRPr="00A278B1" w14:paraId="10DB1C8D" w14:textId="77777777" w:rsidTr="00135FF0">
        <w:tc>
          <w:tcPr>
            <w:tcW w:w="5528" w:type="dxa"/>
            <w:gridSpan w:val="2"/>
            <w:shd w:val="clear" w:color="auto" w:fill="F2F2F2" w:themeFill="background1" w:themeFillShade="F2"/>
          </w:tcPr>
          <w:p w14:paraId="5B882408" w14:textId="3772BD38" w:rsidR="00AD1A1C" w:rsidRPr="00A278B1" w:rsidRDefault="00AD1A1C" w:rsidP="00AD1A1C">
            <w:pPr>
              <w:jc w:val="center"/>
              <w:rPr>
                <w:rFonts w:ascii="Arial" w:eastAsia="Times New Roman" w:hAnsi="Arial" w:cs="Arial"/>
                <w:b/>
                <w:bCs/>
                <w:lang w:eastAsia="pt-BR"/>
              </w:rPr>
            </w:pPr>
            <w:r w:rsidRPr="00A278B1">
              <w:rPr>
                <w:rFonts w:ascii="Arial" w:eastAsia="Times New Roman" w:hAnsi="Arial" w:cs="Arial"/>
                <w:b/>
                <w:bCs/>
                <w:lang w:eastAsia="pt-BR"/>
              </w:rPr>
              <w:t>Incidência de casos e IEX-Q15</w:t>
            </w:r>
          </w:p>
        </w:tc>
      </w:tr>
      <w:tr w:rsidR="00AD1A1C" w:rsidRPr="00A278B1" w14:paraId="14C58BFB" w14:textId="77777777" w:rsidTr="00135FF0">
        <w:tc>
          <w:tcPr>
            <w:tcW w:w="2834" w:type="dxa"/>
            <w:shd w:val="clear" w:color="auto" w:fill="F2F2F2" w:themeFill="background1" w:themeFillShade="F2"/>
            <w:vAlign w:val="bottom"/>
          </w:tcPr>
          <w:p w14:paraId="40E3184D" w14:textId="522E3BC0" w:rsidR="00AD1A1C" w:rsidRPr="00A278B1" w:rsidRDefault="00AD1A1C" w:rsidP="00AD1A1C">
            <w:pPr>
              <w:rPr>
                <w:rFonts w:ascii="Arial" w:eastAsia="Times New Roman" w:hAnsi="Arial" w:cs="Arial"/>
                <w:b/>
                <w:bCs/>
                <w:lang w:eastAsia="pt-BR"/>
              </w:rPr>
            </w:pPr>
            <w:r w:rsidRPr="00A278B1">
              <w:rPr>
                <w:rFonts w:ascii="Arial" w:eastAsia="Times New Roman" w:hAnsi="Arial" w:cs="Arial"/>
                <w:b/>
                <w:bCs/>
                <w:color w:val="000000"/>
                <w:lang w:eastAsia="pt-BR"/>
              </w:rPr>
              <w:t>Período</w:t>
            </w:r>
          </w:p>
        </w:tc>
        <w:tc>
          <w:tcPr>
            <w:tcW w:w="2694" w:type="dxa"/>
            <w:shd w:val="clear" w:color="auto" w:fill="F2F2F2" w:themeFill="background1" w:themeFillShade="F2"/>
            <w:vAlign w:val="bottom"/>
          </w:tcPr>
          <w:p w14:paraId="63281BF6" w14:textId="1E91CBA0" w:rsidR="00AD1A1C" w:rsidRPr="00A278B1" w:rsidRDefault="00AD1A1C" w:rsidP="00AD1A1C">
            <w:pPr>
              <w:jc w:val="center"/>
              <w:rPr>
                <w:rFonts w:ascii="Arial" w:eastAsia="Times New Roman" w:hAnsi="Arial" w:cs="Arial"/>
                <w:b/>
                <w:bCs/>
                <w:lang w:eastAsia="pt-BR"/>
              </w:rPr>
            </w:pPr>
            <w:proofErr w:type="spellStart"/>
            <w:r w:rsidRPr="00A278B1">
              <w:rPr>
                <w:rFonts w:ascii="Arial" w:eastAsia="Times New Roman" w:hAnsi="Arial" w:cs="Arial"/>
                <w:b/>
                <w:bCs/>
                <w:color w:val="000000"/>
                <w:lang w:eastAsia="pt-BR"/>
              </w:rPr>
              <w:t>r</w:t>
            </w:r>
            <w:r w:rsidRPr="00A278B1">
              <w:rPr>
                <w:rFonts w:ascii="Arial" w:eastAsia="Times New Roman" w:hAnsi="Arial" w:cs="Arial"/>
                <w:b/>
                <w:bCs/>
                <w:color w:val="000000"/>
                <w:vertAlign w:val="subscript"/>
                <w:lang w:eastAsia="pt-BR"/>
              </w:rPr>
              <w:t>s</w:t>
            </w:r>
            <w:proofErr w:type="spellEnd"/>
          </w:p>
        </w:tc>
      </w:tr>
      <w:tr w:rsidR="00AD1A1C" w:rsidRPr="00A278B1" w14:paraId="26856266" w14:textId="77777777" w:rsidTr="00135FF0">
        <w:tc>
          <w:tcPr>
            <w:tcW w:w="2834" w:type="dxa"/>
            <w:vAlign w:val="bottom"/>
          </w:tcPr>
          <w:p w14:paraId="7997C6F7" w14:textId="52B72717" w:rsidR="00AD1A1C" w:rsidRPr="00A278B1" w:rsidRDefault="00AD1A1C" w:rsidP="00AD1A1C">
            <w:pPr>
              <w:rPr>
                <w:rFonts w:ascii="Arial" w:eastAsia="Times New Roman" w:hAnsi="Arial" w:cs="Arial"/>
                <w:lang w:eastAsia="pt-BR"/>
              </w:rPr>
            </w:pPr>
            <w:r w:rsidRPr="00A278B1">
              <w:rPr>
                <w:rFonts w:ascii="Arial" w:eastAsia="Times New Roman" w:hAnsi="Arial" w:cs="Arial"/>
                <w:color w:val="000000"/>
                <w:lang w:eastAsia="pt-BR"/>
              </w:rPr>
              <w:t>Ano</w:t>
            </w:r>
          </w:p>
        </w:tc>
        <w:tc>
          <w:tcPr>
            <w:tcW w:w="2694" w:type="dxa"/>
            <w:vAlign w:val="bottom"/>
          </w:tcPr>
          <w:p w14:paraId="4EB8E711" w14:textId="5A3D7F2F" w:rsidR="00AD1A1C" w:rsidRPr="00A278B1" w:rsidRDefault="00AD1A1C" w:rsidP="00AD1A1C">
            <w:pPr>
              <w:jc w:val="center"/>
              <w:rPr>
                <w:rFonts w:ascii="Arial" w:eastAsia="Times New Roman" w:hAnsi="Arial" w:cs="Arial"/>
                <w:lang w:eastAsia="pt-BR"/>
              </w:rPr>
            </w:pPr>
            <w:r w:rsidRPr="00A278B1">
              <w:rPr>
                <w:rFonts w:ascii="Arial" w:eastAsia="Times New Roman" w:hAnsi="Arial" w:cs="Arial"/>
                <w:color w:val="000000"/>
                <w:lang w:eastAsia="pt-BR"/>
              </w:rPr>
              <w:t>-0,028</w:t>
            </w:r>
          </w:p>
        </w:tc>
      </w:tr>
      <w:tr w:rsidR="00AD1A1C" w:rsidRPr="00A278B1" w14:paraId="31879FB9" w14:textId="77777777" w:rsidTr="00135FF0">
        <w:tc>
          <w:tcPr>
            <w:tcW w:w="2834" w:type="dxa"/>
            <w:vAlign w:val="bottom"/>
          </w:tcPr>
          <w:p w14:paraId="661CBA1F" w14:textId="57637E3D" w:rsidR="00AD1A1C" w:rsidRPr="00A278B1" w:rsidRDefault="00AD1A1C" w:rsidP="00AD1A1C">
            <w:pPr>
              <w:rPr>
                <w:rFonts w:ascii="Arial" w:eastAsia="Times New Roman" w:hAnsi="Arial" w:cs="Arial"/>
                <w:lang w:eastAsia="pt-BR"/>
              </w:rPr>
            </w:pPr>
            <w:r w:rsidRPr="00A278B1">
              <w:rPr>
                <w:rFonts w:ascii="Arial" w:eastAsia="Times New Roman" w:hAnsi="Arial" w:cs="Arial"/>
                <w:color w:val="000000"/>
                <w:lang w:eastAsia="pt-BR"/>
              </w:rPr>
              <w:t>1°trimestre</w:t>
            </w:r>
          </w:p>
        </w:tc>
        <w:tc>
          <w:tcPr>
            <w:tcW w:w="2694" w:type="dxa"/>
            <w:vAlign w:val="bottom"/>
          </w:tcPr>
          <w:p w14:paraId="771D13A5" w14:textId="0445018C" w:rsidR="00AD1A1C" w:rsidRPr="00A278B1" w:rsidRDefault="00AD1A1C" w:rsidP="00AD1A1C">
            <w:pPr>
              <w:jc w:val="center"/>
              <w:rPr>
                <w:rFonts w:ascii="Arial" w:eastAsia="Times New Roman" w:hAnsi="Arial" w:cs="Arial"/>
                <w:lang w:eastAsia="pt-BR"/>
              </w:rPr>
            </w:pPr>
            <w:r w:rsidRPr="00A278B1">
              <w:rPr>
                <w:rFonts w:ascii="Arial" w:eastAsia="Times New Roman" w:hAnsi="Arial" w:cs="Arial"/>
                <w:color w:val="000000"/>
                <w:lang w:eastAsia="pt-BR"/>
              </w:rPr>
              <w:t>-0,086</w:t>
            </w:r>
          </w:p>
        </w:tc>
      </w:tr>
      <w:tr w:rsidR="00AD1A1C" w:rsidRPr="00A278B1" w14:paraId="128D5579" w14:textId="77777777" w:rsidTr="00135FF0">
        <w:tc>
          <w:tcPr>
            <w:tcW w:w="2834" w:type="dxa"/>
            <w:vAlign w:val="bottom"/>
          </w:tcPr>
          <w:p w14:paraId="3B073C92" w14:textId="1EEEBEAE" w:rsidR="00AD1A1C" w:rsidRPr="00A278B1" w:rsidRDefault="00AD1A1C" w:rsidP="00AD1A1C">
            <w:pPr>
              <w:rPr>
                <w:rFonts w:ascii="Arial" w:eastAsia="Times New Roman" w:hAnsi="Arial" w:cs="Arial"/>
                <w:lang w:eastAsia="pt-BR"/>
              </w:rPr>
            </w:pPr>
            <w:r w:rsidRPr="00A278B1">
              <w:rPr>
                <w:rFonts w:ascii="Arial" w:eastAsia="Times New Roman" w:hAnsi="Arial" w:cs="Arial"/>
                <w:color w:val="000000"/>
                <w:lang w:eastAsia="pt-BR"/>
              </w:rPr>
              <w:t>2°trimestre</w:t>
            </w:r>
          </w:p>
        </w:tc>
        <w:tc>
          <w:tcPr>
            <w:tcW w:w="2694" w:type="dxa"/>
            <w:vAlign w:val="bottom"/>
          </w:tcPr>
          <w:p w14:paraId="1FAB8801" w14:textId="665918AC" w:rsidR="00AD1A1C" w:rsidRPr="00A278B1" w:rsidRDefault="00AD1A1C" w:rsidP="00AD1A1C">
            <w:pPr>
              <w:jc w:val="center"/>
              <w:rPr>
                <w:rFonts w:ascii="Arial" w:eastAsia="Times New Roman" w:hAnsi="Arial" w:cs="Arial"/>
                <w:lang w:eastAsia="pt-BR"/>
              </w:rPr>
            </w:pPr>
            <w:r w:rsidRPr="00A278B1">
              <w:rPr>
                <w:rFonts w:ascii="Arial" w:eastAsia="Times New Roman" w:hAnsi="Arial" w:cs="Arial"/>
                <w:color w:val="000000"/>
                <w:lang w:eastAsia="pt-BR"/>
              </w:rPr>
              <w:t>-0,027</w:t>
            </w:r>
          </w:p>
        </w:tc>
      </w:tr>
      <w:tr w:rsidR="00AD1A1C" w:rsidRPr="00A278B1" w14:paraId="46AE91ED" w14:textId="77777777" w:rsidTr="00135FF0">
        <w:tc>
          <w:tcPr>
            <w:tcW w:w="2834" w:type="dxa"/>
            <w:vAlign w:val="bottom"/>
          </w:tcPr>
          <w:p w14:paraId="5314C4E5" w14:textId="4815EEDB" w:rsidR="00AD1A1C" w:rsidRPr="00A278B1" w:rsidRDefault="00AD1A1C" w:rsidP="00AD1A1C">
            <w:pPr>
              <w:rPr>
                <w:rFonts w:ascii="Arial" w:eastAsia="Times New Roman" w:hAnsi="Arial" w:cs="Arial"/>
                <w:lang w:eastAsia="pt-BR"/>
              </w:rPr>
            </w:pPr>
            <w:r w:rsidRPr="00A278B1">
              <w:rPr>
                <w:rFonts w:ascii="Arial" w:eastAsia="Times New Roman" w:hAnsi="Arial" w:cs="Arial"/>
                <w:color w:val="000000"/>
                <w:lang w:eastAsia="pt-BR"/>
              </w:rPr>
              <w:t>3°trimestre</w:t>
            </w:r>
          </w:p>
        </w:tc>
        <w:tc>
          <w:tcPr>
            <w:tcW w:w="2694" w:type="dxa"/>
            <w:vAlign w:val="bottom"/>
          </w:tcPr>
          <w:p w14:paraId="5ED25909" w14:textId="03145CE6" w:rsidR="00AD1A1C" w:rsidRPr="00A278B1" w:rsidRDefault="00AD1A1C" w:rsidP="00AD1A1C">
            <w:pPr>
              <w:jc w:val="center"/>
              <w:rPr>
                <w:rFonts w:ascii="Arial" w:eastAsia="Times New Roman" w:hAnsi="Arial" w:cs="Arial"/>
                <w:lang w:eastAsia="pt-BR"/>
              </w:rPr>
            </w:pPr>
            <w:r w:rsidRPr="00A278B1">
              <w:rPr>
                <w:rFonts w:ascii="Arial" w:eastAsia="Times New Roman" w:hAnsi="Arial" w:cs="Arial"/>
                <w:color w:val="000000"/>
                <w:lang w:eastAsia="pt-BR"/>
              </w:rPr>
              <w:t>-0,038</w:t>
            </w:r>
          </w:p>
        </w:tc>
      </w:tr>
      <w:tr w:rsidR="00AD1A1C" w:rsidRPr="00A278B1" w14:paraId="410CCEB6" w14:textId="77777777" w:rsidTr="00135FF0">
        <w:tc>
          <w:tcPr>
            <w:tcW w:w="2834" w:type="dxa"/>
            <w:vAlign w:val="bottom"/>
          </w:tcPr>
          <w:p w14:paraId="3220FAE7" w14:textId="0C7912A4" w:rsidR="00AD1A1C" w:rsidRPr="00A278B1" w:rsidRDefault="00AD1A1C" w:rsidP="00AD1A1C">
            <w:pPr>
              <w:rPr>
                <w:rFonts w:ascii="Arial" w:eastAsia="Times New Roman" w:hAnsi="Arial" w:cs="Arial"/>
                <w:lang w:eastAsia="pt-BR"/>
              </w:rPr>
            </w:pPr>
            <w:r w:rsidRPr="00A278B1">
              <w:rPr>
                <w:rFonts w:ascii="Arial" w:eastAsia="Times New Roman" w:hAnsi="Arial" w:cs="Arial"/>
                <w:color w:val="000000"/>
                <w:lang w:eastAsia="pt-BR"/>
              </w:rPr>
              <w:t>4°trimestre</w:t>
            </w:r>
          </w:p>
        </w:tc>
        <w:tc>
          <w:tcPr>
            <w:tcW w:w="2694" w:type="dxa"/>
            <w:vAlign w:val="bottom"/>
          </w:tcPr>
          <w:p w14:paraId="36464689" w14:textId="3F3C91F0" w:rsidR="00AD1A1C" w:rsidRPr="00A278B1" w:rsidRDefault="00AD1A1C" w:rsidP="00AD1A1C">
            <w:pPr>
              <w:jc w:val="center"/>
              <w:rPr>
                <w:rFonts w:ascii="Arial" w:eastAsia="Times New Roman" w:hAnsi="Arial" w:cs="Arial"/>
                <w:lang w:eastAsia="pt-BR"/>
              </w:rPr>
            </w:pPr>
            <w:r w:rsidRPr="00A278B1">
              <w:rPr>
                <w:rFonts w:ascii="Arial" w:eastAsia="Times New Roman" w:hAnsi="Arial" w:cs="Arial"/>
                <w:color w:val="000000"/>
                <w:lang w:eastAsia="pt-BR"/>
              </w:rPr>
              <w:t>-0,018</w:t>
            </w:r>
          </w:p>
        </w:tc>
      </w:tr>
    </w:tbl>
    <w:p w14:paraId="3516FAB6" w14:textId="77777777" w:rsidR="00A95772" w:rsidRPr="00A278B1" w:rsidRDefault="00A95772" w:rsidP="00A95772">
      <w:pPr>
        <w:spacing w:after="0" w:line="240" w:lineRule="auto"/>
        <w:jc w:val="center"/>
        <w:rPr>
          <w:rFonts w:ascii="Arial" w:eastAsia="Times New Roman" w:hAnsi="Arial" w:cs="Arial"/>
          <w:lang w:eastAsia="pt-BR"/>
        </w:rPr>
      </w:pPr>
      <w:r w:rsidRPr="00A278B1">
        <w:rPr>
          <w:rFonts w:ascii="Arial" w:eastAsia="Times New Roman" w:hAnsi="Arial" w:cs="Arial"/>
          <w:lang w:eastAsia="pt-BR"/>
        </w:rPr>
        <w:t xml:space="preserve">Elaboração: Autores, 2021. </w:t>
      </w:r>
    </w:p>
    <w:p w14:paraId="4DB4A1A6" w14:textId="25AA4E9A" w:rsidR="00AD1A1C" w:rsidRPr="00A278B1" w:rsidRDefault="00AD1A1C" w:rsidP="002E78A7">
      <w:pPr>
        <w:spacing w:after="0" w:line="240" w:lineRule="auto"/>
        <w:rPr>
          <w:rFonts w:ascii="Arial" w:eastAsia="Times New Roman" w:hAnsi="Arial" w:cs="Arial"/>
          <w:lang w:eastAsia="pt-BR"/>
        </w:rPr>
      </w:pPr>
    </w:p>
    <w:p w14:paraId="46F5FCCB" w14:textId="77777777" w:rsidR="002E78A7" w:rsidRPr="00A278B1" w:rsidRDefault="002E78A7" w:rsidP="00F65FFE">
      <w:pPr>
        <w:spacing w:after="0" w:line="276" w:lineRule="auto"/>
        <w:jc w:val="both"/>
        <w:rPr>
          <w:rFonts w:ascii="Arial" w:eastAsia="Times New Roman" w:hAnsi="Arial" w:cs="Arial"/>
          <w:sz w:val="24"/>
          <w:szCs w:val="24"/>
          <w:lang w:eastAsia="pt-BR"/>
        </w:rPr>
      </w:pPr>
      <w:r w:rsidRPr="00A278B1">
        <w:rPr>
          <w:rFonts w:ascii="Arial" w:eastAsia="Times New Roman" w:hAnsi="Arial" w:cs="Arial"/>
          <w:b/>
          <w:bCs/>
          <w:color w:val="000000"/>
          <w:lang w:eastAsia="pt-BR"/>
        </w:rPr>
        <w:t>Conclusão</w:t>
      </w:r>
    </w:p>
    <w:p w14:paraId="65EFC3F2" w14:textId="71270A3D" w:rsidR="002E78A7" w:rsidRPr="00A278B1" w:rsidRDefault="002E78A7" w:rsidP="009E46B0">
      <w:pPr>
        <w:spacing w:before="120" w:after="120" w:line="240" w:lineRule="auto"/>
        <w:ind w:firstLine="720"/>
        <w:jc w:val="both"/>
        <w:rPr>
          <w:rFonts w:ascii="Arial" w:eastAsia="Times New Roman" w:hAnsi="Arial" w:cs="Arial"/>
          <w:color w:val="000000"/>
          <w:lang w:eastAsia="pt-BR"/>
        </w:rPr>
      </w:pPr>
      <w:r w:rsidRPr="00A278B1">
        <w:rPr>
          <w:rFonts w:ascii="Arial" w:eastAsia="Times New Roman" w:hAnsi="Arial" w:cs="Arial"/>
          <w:b/>
          <w:bCs/>
          <w:color w:val="000000"/>
          <w:lang w:eastAsia="pt-BR"/>
        </w:rPr>
        <w:t> </w:t>
      </w:r>
      <w:r w:rsidRPr="00A278B1">
        <w:rPr>
          <w:rFonts w:ascii="Arial" w:eastAsia="Times New Roman" w:hAnsi="Arial" w:cs="Arial"/>
          <w:color w:val="000000"/>
          <w:lang w:eastAsia="pt-BR"/>
        </w:rPr>
        <w:t>Podemos concluir através das análises expostas que no primeiro ano da pandemia na cidade de Maringá, a distribuição de casos e dos óbitos não se explica</w:t>
      </w:r>
      <w:r w:rsidR="008A42BD" w:rsidRPr="00A278B1">
        <w:rPr>
          <w:rFonts w:ascii="Arial" w:eastAsia="Times New Roman" w:hAnsi="Arial" w:cs="Arial"/>
          <w:color w:val="000000"/>
          <w:lang w:eastAsia="pt-BR"/>
        </w:rPr>
        <w:t xml:space="preserve"> de modo linear pelo gradiente socioeconômico de sua população</w:t>
      </w:r>
      <w:r w:rsidRPr="00A278B1">
        <w:rPr>
          <w:rFonts w:ascii="Arial" w:eastAsia="Times New Roman" w:hAnsi="Arial" w:cs="Arial"/>
          <w:color w:val="000000"/>
          <w:lang w:eastAsia="pt-BR"/>
        </w:rPr>
        <w:t>, já que não foi observado correlação entre a incidência de casos</w:t>
      </w:r>
      <w:r w:rsidR="008A42BD" w:rsidRPr="00A278B1">
        <w:rPr>
          <w:rFonts w:ascii="Arial" w:eastAsia="Times New Roman" w:hAnsi="Arial" w:cs="Arial"/>
          <w:color w:val="000000"/>
          <w:lang w:eastAsia="pt-BR"/>
        </w:rPr>
        <w:t xml:space="preserve"> e taxa de mortalidade</w:t>
      </w:r>
      <w:r w:rsidR="00671573" w:rsidRPr="00A278B1">
        <w:rPr>
          <w:rFonts w:ascii="Arial" w:eastAsia="Times New Roman" w:hAnsi="Arial" w:cs="Arial"/>
          <w:color w:val="000000"/>
          <w:lang w:eastAsia="pt-BR"/>
        </w:rPr>
        <w:t xml:space="preserve"> </w:t>
      </w:r>
      <w:r w:rsidRPr="00A278B1">
        <w:rPr>
          <w:rFonts w:ascii="Arial" w:eastAsia="Times New Roman" w:hAnsi="Arial" w:cs="Arial"/>
          <w:color w:val="000000"/>
          <w:lang w:eastAsia="pt-BR"/>
        </w:rPr>
        <w:t>por setores censitários e os índices de exclusão/inclusão</w:t>
      </w:r>
      <w:r w:rsidR="00671573" w:rsidRPr="00A278B1">
        <w:rPr>
          <w:rFonts w:ascii="Arial" w:eastAsia="Times New Roman" w:hAnsi="Arial" w:cs="Arial"/>
          <w:color w:val="000000"/>
          <w:lang w:eastAsia="pt-BR"/>
        </w:rPr>
        <w:t xml:space="preserve"> através do índice de correlação de Pearson.</w:t>
      </w:r>
    </w:p>
    <w:p w14:paraId="583CBB05" w14:textId="77777777" w:rsidR="0018476E" w:rsidRPr="00A278B1" w:rsidRDefault="00671573" w:rsidP="009E46B0">
      <w:pPr>
        <w:spacing w:before="120" w:after="120" w:line="240" w:lineRule="auto"/>
        <w:ind w:firstLine="720"/>
        <w:jc w:val="both"/>
        <w:rPr>
          <w:rFonts w:ascii="Arial" w:eastAsia="Times New Roman" w:hAnsi="Arial" w:cs="Arial"/>
          <w:color w:val="000000"/>
          <w:lang w:eastAsia="pt-BR"/>
        </w:rPr>
      </w:pPr>
      <w:r w:rsidRPr="00A278B1">
        <w:rPr>
          <w:rFonts w:ascii="Arial" w:eastAsia="Times New Roman" w:hAnsi="Arial" w:cs="Arial"/>
          <w:color w:val="000000"/>
          <w:lang w:eastAsia="pt-BR"/>
        </w:rPr>
        <w:t>Assim, as característi</w:t>
      </w:r>
      <w:r w:rsidR="00271929" w:rsidRPr="00A278B1">
        <w:rPr>
          <w:rFonts w:ascii="Arial" w:eastAsia="Times New Roman" w:hAnsi="Arial" w:cs="Arial"/>
          <w:color w:val="000000"/>
          <w:lang w:eastAsia="pt-BR"/>
        </w:rPr>
        <w:t>cas socioespaci</w:t>
      </w:r>
      <w:r w:rsidRPr="00A278B1">
        <w:rPr>
          <w:rFonts w:ascii="Arial" w:eastAsia="Times New Roman" w:hAnsi="Arial" w:cs="Arial"/>
          <w:color w:val="000000"/>
          <w:lang w:eastAsia="pt-BR"/>
        </w:rPr>
        <w:t xml:space="preserve">ais da Covid-19 no primeiro ano, observadas em Maringá, diferenciam-se do que já foi constatado em outras cidades, sobretudo nas capitais do país. </w:t>
      </w:r>
      <w:proofErr w:type="spellStart"/>
      <w:r w:rsidRPr="00A278B1">
        <w:rPr>
          <w:rFonts w:ascii="Arial" w:eastAsia="Times New Roman" w:hAnsi="Arial" w:cs="Arial"/>
          <w:color w:val="000000"/>
          <w:lang w:eastAsia="pt-BR"/>
        </w:rPr>
        <w:t>Bitoun</w:t>
      </w:r>
      <w:proofErr w:type="spellEnd"/>
      <w:r w:rsidRPr="00A278B1">
        <w:rPr>
          <w:rFonts w:ascii="Arial" w:eastAsia="Times New Roman" w:hAnsi="Arial" w:cs="Arial"/>
          <w:color w:val="000000"/>
          <w:lang w:eastAsia="pt-BR"/>
        </w:rPr>
        <w:t xml:space="preserve"> et al. (2020), por exemplo, ao analisar a distribuição dos casos de SRAG, um indicativo da ocorrência de Covid-19, em Recife, conclui que as áreas mais pobres são desproporcionalmente mais atingidas com as situações mais graves da doença. Nunes, Leite e Carvalho (2020), por sua vez, fizeram a mesma constatação na cidade de Uberlândia, quando observaram que os setores mais pobres são, também, os mais afetados. Na Região Metropolitana de São Paulo, análises feitas pelo Observatório das Metrópoles (</w:t>
      </w:r>
      <w:proofErr w:type="spellStart"/>
      <w:r w:rsidRPr="00A278B1">
        <w:rPr>
          <w:rFonts w:ascii="Arial" w:eastAsia="Times New Roman" w:hAnsi="Arial" w:cs="Arial"/>
          <w:color w:val="000000"/>
          <w:lang w:eastAsia="pt-BR"/>
        </w:rPr>
        <w:t>Bogus</w:t>
      </w:r>
      <w:proofErr w:type="spellEnd"/>
      <w:r w:rsidRPr="00A278B1">
        <w:rPr>
          <w:rFonts w:ascii="Arial" w:eastAsia="Times New Roman" w:hAnsi="Arial" w:cs="Arial"/>
          <w:color w:val="000000"/>
          <w:lang w:eastAsia="pt-BR"/>
        </w:rPr>
        <w:t xml:space="preserve"> et al, 2020)</w:t>
      </w:r>
      <w:r w:rsidR="0018476E" w:rsidRPr="00A278B1">
        <w:rPr>
          <w:rFonts w:ascii="Arial" w:eastAsia="Times New Roman" w:hAnsi="Arial" w:cs="Arial"/>
          <w:color w:val="000000"/>
          <w:lang w:eastAsia="pt-BR"/>
        </w:rPr>
        <w:t xml:space="preserve"> chegaram às mesmas conclusões.</w:t>
      </w:r>
    </w:p>
    <w:p w14:paraId="2D75B906" w14:textId="77777777" w:rsidR="006F63A8" w:rsidRPr="00A278B1" w:rsidRDefault="00271929" w:rsidP="009E46B0">
      <w:pPr>
        <w:spacing w:before="120" w:after="120" w:line="240" w:lineRule="auto"/>
        <w:ind w:firstLine="720"/>
        <w:jc w:val="both"/>
        <w:rPr>
          <w:rFonts w:ascii="Arial" w:eastAsia="Times New Roman" w:hAnsi="Arial" w:cs="Arial"/>
          <w:color w:val="000000"/>
          <w:shd w:val="clear" w:color="auto" w:fill="FFFFFF"/>
          <w:lang w:eastAsia="pt-BR"/>
        </w:rPr>
      </w:pPr>
      <w:r w:rsidRPr="00A278B1">
        <w:rPr>
          <w:rFonts w:ascii="Arial" w:eastAsia="Times New Roman" w:hAnsi="Arial" w:cs="Arial"/>
          <w:color w:val="000000"/>
          <w:shd w:val="clear" w:color="auto" w:fill="FFFFFF"/>
          <w:lang w:eastAsia="pt-BR"/>
        </w:rPr>
        <w:t>De modo diverso, na cidade de Maringá, pôde-se constatar que as áreas de maior vulnerabilidade, identificadas através da técnica de dispersão, têm taxas de incidência e mortalidade muito superiores aos demais setores.</w:t>
      </w:r>
      <w:r w:rsidR="0018476E" w:rsidRPr="00A278B1">
        <w:rPr>
          <w:rFonts w:ascii="Arial" w:eastAsia="Times New Roman" w:hAnsi="Arial" w:cs="Arial"/>
          <w:color w:val="000000"/>
          <w:shd w:val="clear" w:color="auto" w:fill="FFFFFF"/>
          <w:lang w:eastAsia="pt-BR"/>
        </w:rPr>
        <w:t xml:space="preserve"> </w:t>
      </w:r>
    </w:p>
    <w:p w14:paraId="1C2DAB61" w14:textId="7BE1658A" w:rsidR="006F63A8" w:rsidRPr="00A278B1" w:rsidRDefault="00271929" w:rsidP="009E46B0">
      <w:pPr>
        <w:spacing w:before="120" w:after="120" w:line="240" w:lineRule="auto"/>
        <w:ind w:firstLine="720"/>
        <w:jc w:val="both"/>
        <w:rPr>
          <w:rFonts w:ascii="Arial" w:eastAsia="Times New Roman" w:hAnsi="Arial" w:cs="Arial"/>
          <w:b/>
          <w:bCs/>
          <w:color w:val="000000"/>
          <w:lang w:eastAsia="pt-BR"/>
        </w:rPr>
      </w:pPr>
      <w:r w:rsidRPr="00A278B1">
        <w:rPr>
          <w:rFonts w:ascii="Arial" w:eastAsia="Times New Roman" w:hAnsi="Arial" w:cs="Arial"/>
          <w:color w:val="000000"/>
          <w:shd w:val="clear" w:color="auto" w:fill="FFFFFF"/>
          <w:lang w:eastAsia="pt-BR"/>
        </w:rPr>
        <w:t xml:space="preserve">Essas duas constatações, certamente, exigirão novos trabalhos para avaliar suas razões e identificar as variáveis mais explicativas para a geografia </w:t>
      </w:r>
      <w:r w:rsidR="0018476E" w:rsidRPr="00A278B1">
        <w:rPr>
          <w:rFonts w:ascii="Arial" w:eastAsia="Times New Roman" w:hAnsi="Arial" w:cs="Arial"/>
          <w:color w:val="000000"/>
          <w:shd w:val="clear" w:color="auto" w:fill="FFFFFF"/>
          <w:lang w:eastAsia="pt-BR"/>
        </w:rPr>
        <w:t xml:space="preserve">da Covid-19 na </w:t>
      </w:r>
      <w:r w:rsidR="0018476E" w:rsidRPr="00A278B1">
        <w:rPr>
          <w:rFonts w:ascii="Arial" w:eastAsia="Times New Roman" w:hAnsi="Arial" w:cs="Arial"/>
          <w:color w:val="000000"/>
          <w:shd w:val="clear" w:color="auto" w:fill="FFFFFF"/>
          <w:lang w:eastAsia="pt-BR"/>
        </w:rPr>
        <w:lastRenderedPageBreak/>
        <w:t xml:space="preserve">cidade de </w:t>
      </w:r>
      <w:r w:rsidRPr="00A278B1">
        <w:rPr>
          <w:rFonts w:ascii="Arial" w:eastAsia="Times New Roman" w:hAnsi="Arial" w:cs="Arial"/>
          <w:color w:val="000000"/>
          <w:shd w:val="clear" w:color="auto" w:fill="FFFFFF"/>
          <w:lang w:eastAsia="pt-BR"/>
        </w:rPr>
        <w:t>Maringá</w:t>
      </w:r>
      <w:r w:rsidR="0018476E" w:rsidRPr="00A278B1">
        <w:rPr>
          <w:rFonts w:ascii="Arial" w:eastAsia="Times New Roman" w:hAnsi="Arial" w:cs="Arial"/>
          <w:color w:val="000000"/>
          <w:shd w:val="clear" w:color="auto" w:fill="FFFFFF"/>
          <w:lang w:eastAsia="pt-BR"/>
        </w:rPr>
        <w:t>.</w:t>
      </w:r>
      <w:r w:rsidR="00215D27" w:rsidRPr="00A278B1">
        <w:rPr>
          <w:rFonts w:ascii="Arial" w:eastAsia="Times New Roman" w:hAnsi="Arial" w:cs="Arial"/>
          <w:color w:val="000000"/>
          <w:shd w:val="clear" w:color="auto" w:fill="FFFFFF"/>
          <w:lang w:eastAsia="pt-BR"/>
        </w:rPr>
        <w:tab/>
      </w:r>
      <w:r w:rsidR="002E78A7" w:rsidRPr="00A278B1">
        <w:rPr>
          <w:rFonts w:ascii="Arial" w:eastAsia="Times New Roman" w:hAnsi="Arial" w:cs="Arial"/>
          <w:lang w:eastAsia="pt-BR"/>
        </w:rPr>
        <w:br/>
      </w:r>
    </w:p>
    <w:p w14:paraId="110157EC" w14:textId="7B96A4B7" w:rsidR="007F4774" w:rsidRPr="00A278B1" w:rsidRDefault="007F4774" w:rsidP="006F63A8">
      <w:pPr>
        <w:spacing w:before="240" w:after="240" w:line="276" w:lineRule="auto"/>
        <w:ind w:firstLine="720"/>
        <w:jc w:val="both"/>
        <w:rPr>
          <w:rFonts w:ascii="Arial" w:eastAsia="Times New Roman" w:hAnsi="Arial" w:cs="Arial"/>
          <w:b/>
          <w:bCs/>
          <w:color w:val="000000"/>
          <w:lang w:eastAsia="pt-BR"/>
        </w:rPr>
      </w:pPr>
    </w:p>
    <w:p w14:paraId="5D39F238" w14:textId="77777777" w:rsidR="007F4774" w:rsidRPr="00A278B1" w:rsidRDefault="007F4774" w:rsidP="006F63A8">
      <w:pPr>
        <w:spacing w:before="240" w:after="240" w:line="276" w:lineRule="auto"/>
        <w:ind w:firstLine="720"/>
        <w:jc w:val="both"/>
        <w:rPr>
          <w:rFonts w:ascii="Arial" w:eastAsia="Times New Roman" w:hAnsi="Arial" w:cs="Arial"/>
          <w:b/>
          <w:bCs/>
          <w:color w:val="000000"/>
          <w:lang w:eastAsia="pt-BR"/>
        </w:rPr>
      </w:pPr>
    </w:p>
    <w:p w14:paraId="609DC648" w14:textId="2FFE6CE0" w:rsidR="002E78A7" w:rsidRPr="00A278B1" w:rsidRDefault="009E46B0" w:rsidP="006F63A8">
      <w:pPr>
        <w:spacing w:before="240" w:after="240" w:line="276" w:lineRule="auto"/>
        <w:jc w:val="both"/>
        <w:rPr>
          <w:rFonts w:ascii="Arial" w:eastAsia="Times New Roman" w:hAnsi="Arial" w:cs="Arial"/>
          <w:color w:val="000000"/>
          <w:shd w:val="clear" w:color="auto" w:fill="FFFFFF"/>
          <w:lang w:eastAsia="pt-BR"/>
        </w:rPr>
      </w:pPr>
      <w:r w:rsidRPr="00A278B1">
        <w:rPr>
          <w:rFonts w:ascii="Arial" w:eastAsia="Times New Roman" w:hAnsi="Arial" w:cs="Arial"/>
          <w:b/>
          <w:bCs/>
          <w:color w:val="000000"/>
          <w:lang w:eastAsia="pt-BR"/>
        </w:rPr>
        <w:t>REFERÊNCIAS</w:t>
      </w:r>
    </w:p>
    <w:p w14:paraId="7C923C05" w14:textId="111589ED" w:rsidR="005D22FD" w:rsidRPr="00A278B1" w:rsidRDefault="002E78A7" w:rsidP="009E46B0">
      <w:pPr>
        <w:spacing w:after="0" w:line="240" w:lineRule="auto"/>
        <w:rPr>
          <w:rFonts w:ascii="Arial" w:eastAsia="Times New Roman" w:hAnsi="Arial" w:cs="Arial"/>
          <w:color w:val="000000"/>
          <w:lang w:eastAsia="pt-BR"/>
        </w:rPr>
      </w:pPr>
      <w:r w:rsidRPr="00A278B1">
        <w:rPr>
          <w:rFonts w:ascii="Arial" w:eastAsia="Times New Roman" w:hAnsi="Arial" w:cs="Arial"/>
          <w:color w:val="000000"/>
          <w:lang w:eastAsia="pt-BR"/>
        </w:rPr>
        <w:t xml:space="preserve">BITOUN, J.; DUARTE, C. C.; BEZERRA, A. C. V.; FERNANDES, A. C. de A.; SANTOS, L. S. Novo coronavírus, velhas desigualdades: distribuição dos casos, óbitos e letalidade por SRAG decorrentes da covid-19 na cidade do Recife. </w:t>
      </w:r>
      <w:r w:rsidRPr="00A278B1">
        <w:rPr>
          <w:rFonts w:ascii="Arial" w:eastAsia="Times New Roman" w:hAnsi="Arial" w:cs="Arial"/>
          <w:b/>
          <w:bCs/>
          <w:color w:val="000000"/>
          <w:lang w:eastAsia="pt-BR"/>
        </w:rPr>
        <w:t>Rev. Confins</w:t>
      </w:r>
      <w:r w:rsidRPr="00A278B1">
        <w:rPr>
          <w:rFonts w:ascii="Arial" w:eastAsia="Times New Roman" w:hAnsi="Arial" w:cs="Arial"/>
          <w:color w:val="000000"/>
          <w:lang w:eastAsia="pt-BR"/>
        </w:rPr>
        <w:t>, n. 48, 2020. Disponível em: &lt;</w:t>
      </w:r>
      <w:hyperlink r:id="rId13" w:history="1">
        <w:r w:rsidRPr="00A278B1">
          <w:rPr>
            <w:rFonts w:ascii="Arial" w:eastAsia="Times New Roman" w:hAnsi="Arial" w:cs="Arial"/>
            <w:color w:val="000000" w:themeColor="text1"/>
            <w:lang w:eastAsia="pt-BR"/>
          </w:rPr>
          <w:t>https://journals.openedition.org/confins/34667</w:t>
        </w:r>
      </w:hyperlink>
      <w:r w:rsidRPr="00A278B1">
        <w:rPr>
          <w:rFonts w:ascii="Arial" w:eastAsia="Times New Roman" w:hAnsi="Arial" w:cs="Arial"/>
          <w:color w:val="000000"/>
          <w:lang w:eastAsia="pt-BR"/>
        </w:rPr>
        <w:t>&gt; Acesso em: 12 de maio de 2021.</w:t>
      </w:r>
    </w:p>
    <w:p w14:paraId="0258F130" w14:textId="77777777" w:rsidR="005D22FD" w:rsidRPr="00A278B1" w:rsidRDefault="005D22FD" w:rsidP="009E46B0">
      <w:pPr>
        <w:spacing w:after="0" w:line="240" w:lineRule="auto"/>
        <w:rPr>
          <w:rFonts w:ascii="Arial" w:eastAsia="Times New Roman" w:hAnsi="Arial" w:cs="Arial"/>
          <w:color w:val="000000"/>
          <w:lang w:eastAsia="pt-BR"/>
        </w:rPr>
      </w:pPr>
    </w:p>
    <w:p w14:paraId="685DB4B1" w14:textId="77777777" w:rsidR="005D22FD" w:rsidRPr="00A278B1" w:rsidRDefault="005D22FD" w:rsidP="009E46B0">
      <w:pPr>
        <w:spacing w:after="0" w:line="240" w:lineRule="auto"/>
        <w:rPr>
          <w:rFonts w:ascii="Arial" w:eastAsia="Times New Roman" w:hAnsi="Arial" w:cs="Arial"/>
          <w:color w:val="000000"/>
          <w:lang w:eastAsia="pt-BR"/>
        </w:rPr>
      </w:pPr>
      <w:r w:rsidRPr="00A278B1">
        <w:rPr>
          <w:rFonts w:ascii="Arial" w:eastAsia="Times New Roman" w:hAnsi="Arial" w:cs="Arial"/>
          <w:color w:val="000000"/>
          <w:lang w:eastAsia="pt-BR"/>
        </w:rPr>
        <w:t xml:space="preserve">BOGUS, L. M. M. et al. </w:t>
      </w:r>
      <w:r w:rsidRPr="00A278B1">
        <w:rPr>
          <w:rFonts w:ascii="Arial" w:eastAsia="Times New Roman" w:hAnsi="Arial" w:cs="Arial"/>
          <w:b/>
          <w:color w:val="000000"/>
          <w:lang w:eastAsia="pt-BR"/>
        </w:rPr>
        <w:t xml:space="preserve">A pandemia da COVID-19 no município e na Região Metropolitana de São Paulo: desigualdades socioespaciais, vulnerabilidades e padrão de disseminação na </w:t>
      </w:r>
      <w:proofErr w:type="spellStart"/>
      <w:r w:rsidRPr="00A278B1">
        <w:rPr>
          <w:rFonts w:ascii="Arial" w:eastAsia="Times New Roman" w:hAnsi="Arial" w:cs="Arial"/>
          <w:b/>
          <w:color w:val="000000"/>
          <w:lang w:eastAsia="pt-BR"/>
        </w:rPr>
        <w:t>Macrometrópole</w:t>
      </w:r>
      <w:proofErr w:type="spellEnd"/>
      <w:r w:rsidRPr="00A278B1">
        <w:rPr>
          <w:rFonts w:ascii="Arial" w:eastAsia="Times New Roman" w:hAnsi="Arial" w:cs="Arial"/>
          <w:b/>
          <w:color w:val="000000"/>
          <w:lang w:eastAsia="pt-BR"/>
        </w:rPr>
        <w:t xml:space="preserve"> Paulista</w:t>
      </w:r>
      <w:r w:rsidRPr="00A278B1">
        <w:rPr>
          <w:rFonts w:ascii="Arial" w:eastAsia="Times New Roman" w:hAnsi="Arial" w:cs="Arial"/>
          <w:color w:val="000000"/>
          <w:lang w:eastAsia="pt-BR"/>
        </w:rPr>
        <w:t xml:space="preserve">. São Paulo: PUC-SP/Observatório das Metrópoles, 2020. </w:t>
      </w:r>
    </w:p>
    <w:p w14:paraId="4196EB61" w14:textId="77777777" w:rsidR="005D22FD" w:rsidRPr="00A278B1" w:rsidRDefault="005D22FD" w:rsidP="009E46B0">
      <w:pPr>
        <w:spacing w:after="0" w:line="240" w:lineRule="auto"/>
        <w:rPr>
          <w:rFonts w:ascii="Arial" w:eastAsia="Times New Roman" w:hAnsi="Arial" w:cs="Arial"/>
          <w:color w:val="000000"/>
          <w:lang w:eastAsia="pt-BR"/>
        </w:rPr>
      </w:pPr>
    </w:p>
    <w:p w14:paraId="0A0067A9" w14:textId="6DE9E8DA" w:rsidR="002E78A7" w:rsidRPr="00A278B1" w:rsidRDefault="002E78A7" w:rsidP="009E46B0">
      <w:pPr>
        <w:spacing w:after="0" w:line="240" w:lineRule="auto"/>
        <w:rPr>
          <w:rFonts w:ascii="Arial" w:eastAsia="Times New Roman" w:hAnsi="Arial" w:cs="Arial"/>
          <w:color w:val="000000"/>
          <w:lang w:eastAsia="pt-BR"/>
        </w:rPr>
      </w:pPr>
      <w:r w:rsidRPr="00A278B1">
        <w:rPr>
          <w:rFonts w:ascii="Arial" w:eastAsia="Times New Roman" w:hAnsi="Arial" w:cs="Arial"/>
          <w:color w:val="000000"/>
          <w:lang w:eastAsia="pt-BR"/>
        </w:rPr>
        <w:t xml:space="preserve">BRASIL. Ministério da Saúde. </w:t>
      </w:r>
      <w:r w:rsidRPr="00A278B1">
        <w:rPr>
          <w:rFonts w:ascii="Arial" w:eastAsia="Times New Roman" w:hAnsi="Arial" w:cs="Arial"/>
          <w:b/>
          <w:bCs/>
          <w:color w:val="000000"/>
          <w:lang w:eastAsia="pt-BR"/>
        </w:rPr>
        <w:t>Doença pelo coronavírus 2019</w:t>
      </w:r>
      <w:r w:rsidRPr="00A278B1">
        <w:rPr>
          <w:rFonts w:ascii="Arial" w:eastAsia="Times New Roman" w:hAnsi="Arial" w:cs="Arial"/>
          <w:color w:val="000000"/>
          <w:lang w:eastAsia="pt-BR"/>
        </w:rPr>
        <w:t>. Boletim Epidemiológico (Especial), Brasília, v. 07, abr./2020, 2020b.</w:t>
      </w:r>
    </w:p>
    <w:p w14:paraId="4C95747E" w14:textId="77777777" w:rsidR="002E78A7" w:rsidRPr="00A278B1" w:rsidRDefault="002E78A7" w:rsidP="009E46B0">
      <w:pPr>
        <w:spacing w:before="240" w:after="240" w:line="240" w:lineRule="auto"/>
        <w:rPr>
          <w:rFonts w:ascii="Arial" w:eastAsia="Times New Roman" w:hAnsi="Arial" w:cs="Arial"/>
          <w:sz w:val="24"/>
          <w:szCs w:val="24"/>
          <w:lang w:val="en-GB" w:eastAsia="pt-BR"/>
        </w:rPr>
      </w:pPr>
      <w:r w:rsidRPr="00A278B1">
        <w:rPr>
          <w:rFonts w:ascii="Arial" w:eastAsia="Times New Roman" w:hAnsi="Arial" w:cs="Arial"/>
          <w:color w:val="000000"/>
          <w:lang w:eastAsia="pt-BR"/>
        </w:rPr>
        <w:t xml:space="preserve">CARVALHO, A. I.; BUSS, P. M. Determinantes sociais na saúde, na doença e na intervenção. In: GIOVANELLA, L. et al. </w:t>
      </w:r>
      <w:r w:rsidRPr="00A278B1">
        <w:rPr>
          <w:rFonts w:ascii="Arial" w:eastAsia="Times New Roman" w:hAnsi="Arial" w:cs="Arial"/>
          <w:b/>
          <w:bCs/>
          <w:color w:val="000000"/>
          <w:lang w:eastAsia="pt-BR"/>
        </w:rPr>
        <w:t>Políticas e sistema de saúde no Brasil</w:t>
      </w:r>
      <w:r w:rsidRPr="00A278B1">
        <w:rPr>
          <w:rFonts w:ascii="Arial" w:eastAsia="Times New Roman" w:hAnsi="Arial" w:cs="Arial"/>
          <w:color w:val="000000"/>
          <w:lang w:eastAsia="pt-BR"/>
        </w:rPr>
        <w:t xml:space="preserve">. </w:t>
      </w:r>
      <w:r w:rsidRPr="001E66F4">
        <w:rPr>
          <w:rFonts w:ascii="Arial" w:eastAsia="Times New Roman" w:hAnsi="Arial" w:cs="Arial"/>
          <w:color w:val="000000"/>
          <w:lang w:val="en-GB" w:eastAsia="pt-BR"/>
        </w:rPr>
        <w:t xml:space="preserve">2. ed. </w:t>
      </w:r>
      <w:r w:rsidRPr="00A278B1">
        <w:rPr>
          <w:rFonts w:ascii="Arial" w:eastAsia="Times New Roman" w:hAnsi="Arial" w:cs="Arial"/>
          <w:color w:val="000000"/>
          <w:lang w:val="en-GB" w:eastAsia="pt-BR"/>
        </w:rPr>
        <w:t xml:space="preserve">Rio de Janeiro: </w:t>
      </w:r>
      <w:proofErr w:type="spellStart"/>
      <w:r w:rsidRPr="00A278B1">
        <w:rPr>
          <w:rFonts w:ascii="Arial" w:eastAsia="Times New Roman" w:hAnsi="Arial" w:cs="Arial"/>
          <w:color w:val="000000"/>
          <w:lang w:val="en-GB" w:eastAsia="pt-BR"/>
        </w:rPr>
        <w:t>Fiocruz</w:t>
      </w:r>
      <w:proofErr w:type="spellEnd"/>
      <w:r w:rsidRPr="00A278B1">
        <w:rPr>
          <w:rFonts w:ascii="Arial" w:eastAsia="Times New Roman" w:hAnsi="Arial" w:cs="Arial"/>
          <w:color w:val="000000"/>
          <w:lang w:val="en-GB" w:eastAsia="pt-BR"/>
        </w:rPr>
        <w:t>, 2012, p. 141-166.</w:t>
      </w:r>
    </w:p>
    <w:p w14:paraId="1CA2E529" w14:textId="47162098" w:rsidR="002E78A7" w:rsidRPr="00A278B1" w:rsidRDefault="002E78A7" w:rsidP="009E46B0">
      <w:pPr>
        <w:spacing w:before="240" w:after="240" w:line="240" w:lineRule="auto"/>
        <w:rPr>
          <w:rFonts w:ascii="Arial" w:eastAsia="Times New Roman" w:hAnsi="Arial" w:cs="Arial"/>
          <w:color w:val="000000"/>
          <w:lang w:eastAsia="pt-BR"/>
        </w:rPr>
      </w:pPr>
      <w:r w:rsidRPr="00A278B1">
        <w:rPr>
          <w:rFonts w:ascii="Arial" w:eastAsia="Times New Roman" w:hAnsi="Arial" w:cs="Arial"/>
          <w:color w:val="000000"/>
          <w:lang w:val="en-GB" w:eastAsia="pt-BR"/>
        </w:rPr>
        <w:t xml:space="preserve">COELHO et. al. </w:t>
      </w:r>
      <w:proofErr w:type="spellStart"/>
      <w:r w:rsidRPr="00A278B1">
        <w:rPr>
          <w:rFonts w:ascii="Arial" w:eastAsia="Times New Roman" w:hAnsi="Arial" w:cs="Arial"/>
          <w:color w:val="000000"/>
          <w:lang w:val="en-GB" w:eastAsia="pt-BR"/>
        </w:rPr>
        <w:t>Assesing</w:t>
      </w:r>
      <w:proofErr w:type="spellEnd"/>
      <w:r w:rsidRPr="00A278B1">
        <w:rPr>
          <w:rFonts w:ascii="Arial" w:eastAsia="Times New Roman" w:hAnsi="Arial" w:cs="Arial"/>
          <w:color w:val="000000"/>
          <w:lang w:val="en-GB" w:eastAsia="pt-BR"/>
        </w:rPr>
        <w:t xml:space="preserve"> the spread of COVID-19 in Brazil: Mobility, </w:t>
      </w:r>
      <w:proofErr w:type="gramStart"/>
      <w:r w:rsidRPr="00A278B1">
        <w:rPr>
          <w:rFonts w:ascii="Arial" w:eastAsia="Times New Roman" w:hAnsi="Arial" w:cs="Arial"/>
          <w:color w:val="000000"/>
          <w:lang w:val="en-GB" w:eastAsia="pt-BR"/>
        </w:rPr>
        <w:t>morbidity</w:t>
      </w:r>
      <w:proofErr w:type="gramEnd"/>
      <w:r w:rsidRPr="00A278B1">
        <w:rPr>
          <w:rFonts w:ascii="Arial" w:eastAsia="Times New Roman" w:hAnsi="Arial" w:cs="Arial"/>
          <w:color w:val="000000"/>
          <w:lang w:val="en-GB" w:eastAsia="pt-BR"/>
        </w:rPr>
        <w:t xml:space="preserve"> and social vulnerability. </w:t>
      </w:r>
      <w:r w:rsidRPr="00A278B1">
        <w:rPr>
          <w:rFonts w:ascii="Arial" w:eastAsia="Times New Roman" w:hAnsi="Arial" w:cs="Arial"/>
          <w:b/>
          <w:bCs/>
          <w:color w:val="000000"/>
          <w:lang w:eastAsia="pt-BR"/>
        </w:rPr>
        <w:t>Rev. PLOS ONE</w:t>
      </w:r>
      <w:r w:rsidRPr="00A278B1">
        <w:rPr>
          <w:rFonts w:ascii="Arial" w:eastAsia="Times New Roman" w:hAnsi="Arial" w:cs="Arial"/>
          <w:color w:val="000000"/>
          <w:lang w:eastAsia="pt-BR"/>
        </w:rPr>
        <w:t>, p. 1-11, set. 2020.</w:t>
      </w:r>
    </w:p>
    <w:p w14:paraId="36ED3AFD" w14:textId="0AF3FC78" w:rsidR="00A3422C" w:rsidRPr="00A278B1" w:rsidRDefault="00A3422C" w:rsidP="009E46B0">
      <w:pPr>
        <w:spacing w:before="240" w:after="240" w:line="240" w:lineRule="auto"/>
        <w:rPr>
          <w:rFonts w:ascii="Arial" w:eastAsia="Times New Roman" w:hAnsi="Arial" w:cs="Arial"/>
          <w:sz w:val="24"/>
          <w:szCs w:val="24"/>
          <w:lang w:eastAsia="pt-BR"/>
        </w:rPr>
      </w:pPr>
      <w:r w:rsidRPr="00A278B1">
        <w:rPr>
          <w:rFonts w:ascii="Arial" w:eastAsia="Times New Roman" w:hAnsi="Arial" w:cs="Arial"/>
          <w:color w:val="000000"/>
          <w:lang w:eastAsia="pt-BR"/>
        </w:rPr>
        <w:t xml:space="preserve">GRUPO DE PESQUISA AMBIENTE, SOCIEDADE E GEOTECNOLOGIAS (GEPAG). </w:t>
      </w:r>
      <w:r w:rsidRPr="00A278B1">
        <w:rPr>
          <w:rFonts w:ascii="Arial" w:eastAsia="Times New Roman" w:hAnsi="Arial" w:cs="Arial"/>
          <w:b/>
          <w:bCs/>
          <w:color w:val="000000"/>
          <w:lang w:eastAsia="pt-BR"/>
        </w:rPr>
        <w:t>Atlas da inclusão/exclusão social das cidades de porte médio do interior do estado do Paraná</w:t>
      </w:r>
      <w:r w:rsidRPr="00A278B1">
        <w:rPr>
          <w:rFonts w:ascii="Arial" w:eastAsia="Times New Roman" w:hAnsi="Arial" w:cs="Arial"/>
          <w:color w:val="000000"/>
          <w:lang w:eastAsia="pt-BR"/>
        </w:rPr>
        <w:t>. Universidade Estadual de Maringá, Maringá, 2021.</w:t>
      </w:r>
    </w:p>
    <w:p w14:paraId="303E1223" w14:textId="77777777" w:rsidR="002E78A7" w:rsidRPr="00A278B1" w:rsidRDefault="002E78A7" w:rsidP="009E46B0">
      <w:pPr>
        <w:spacing w:before="240" w:after="240" w:line="240" w:lineRule="auto"/>
        <w:rPr>
          <w:rFonts w:ascii="Arial" w:eastAsia="Times New Roman" w:hAnsi="Arial" w:cs="Arial"/>
          <w:sz w:val="24"/>
          <w:szCs w:val="24"/>
          <w:lang w:eastAsia="pt-BR"/>
        </w:rPr>
      </w:pPr>
      <w:r w:rsidRPr="00A278B1">
        <w:rPr>
          <w:rFonts w:ascii="Arial" w:eastAsia="Times New Roman" w:hAnsi="Arial" w:cs="Arial"/>
          <w:color w:val="000000"/>
          <w:lang w:eastAsia="pt-BR"/>
        </w:rPr>
        <w:t xml:space="preserve">FALQUETE, H.; MORA, F. B.; MARTELLI, C. G. </w:t>
      </w:r>
      <w:r w:rsidRPr="003E76F5">
        <w:rPr>
          <w:rFonts w:ascii="Arial" w:eastAsia="Times New Roman" w:hAnsi="Arial" w:cs="Arial"/>
          <w:b/>
          <w:bCs/>
          <w:color w:val="000000"/>
          <w:lang w:eastAsia="pt-BR"/>
        </w:rPr>
        <w:t>Saúde pública e desigualdades: Brasil em tempos de pandemia</w:t>
      </w:r>
      <w:r w:rsidRPr="00A278B1">
        <w:rPr>
          <w:rFonts w:ascii="Arial" w:eastAsia="Times New Roman" w:hAnsi="Arial" w:cs="Arial"/>
          <w:color w:val="000000"/>
          <w:lang w:eastAsia="pt-BR"/>
        </w:rPr>
        <w:t>. Rev. Sem Aspas, Araraquara, v. 9, n. 1, p. 41-60, jan./jun., 2020.</w:t>
      </w:r>
    </w:p>
    <w:p w14:paraId="584AA40D" w14:textId="77777777" w:rsidR="002E78A7" w:rsidRPr="00A278B1" w:rsidRDefault="002E78A7" w:rsidP="009E46B0">
      <w:pPr>
        <w:spacing w:before="240" w:after="240" w:line="240" w:lineRule="auto"/>
        <w:rPr>
          <w:rFonts w:ascii="Arial" w:eastAsia="Times New Roman" w:hAnsi="Arial" w:cs="Arial"/>
          <w:sz w:val="24"/>
          <w:szCs w:val="24"/>
          <w:lang w:eastAsia="pt-BR"/>
        </w:rPr>
      </w:pPr>
      <w:r w:rsidRPr="00A278B1">
        <w:rPr>
          <w:rFonts w:ascii="Arial" w:eastAsia="Times New Roman" w:hAnsi="Arial" w:cs="Arial"/>
          <w:color w:val="000000"/>
          <w:lang w:eastAsia="pt-BR"/>
        </w:rPr>
        <w:t xml:space="preserve">FERREIRA, M. C. </w:t>
      </w:r>
      <w:r w:rsidRPr="00A278B1">
        <w:rPr>
          <w:rFonts w:ascii="Arial" w:eastAsia="Times New Roman" w:hAnsi="Arial" w:cs="Arial"/>
          <w:b/>
          <w:bCs/>
          <w:color w:val="000000"/>
          <w:lang w:eastAsia="pt-BR"/>
        </w:rPr>
        <w:t xml:space="preserve">Iniciação à análise </w:t>
      </w:r>
      <w:proofErr w:type="spellStart"/>
      <w:r w:rsidRPr="00A278B1">
        <w:rPr>
          <w:rFonts w:ascii="Arial" w:eastAsia="Times New Roman" w:hAnsi="Arial" w:cs="Arial"/>
          <w:b/>
          <w:bCs/>
          <w:color w:val="000000"/>
          <w:lang w:eastAsia="pt-BR"/>
        </w:rPr>
        <w:t>geoespacial</w:t>
      </w:r>
      <w:proofErr w:type="spellEnd"/>
      <w:r w:rsidRPr="00A278B1">
        <w:rPr>
          <w:rFonts w:ascii="Arial" w:eastAsia="Times New Roman" w:hAnsi="Arial" w:cs="Arial"/>
          <w:color w:val="000000"/>
          <w:lang w:eastAsia="pt-BR"/>
        </w:rPr>
        <w:t>: teoria, técnicas e exemplos para geoprocessamento. 1. ed. São Paulo: Editora Unesp, 2014. p.93-101.</w:t>
      </w:r>
    </w:p>
    <w:p w14:paraId="428470AC" w14:textId="77777777" w:rsidR="002E78A7" w:rsidRPr="00A278B1" w:rsidRDefault="002E78A7" w:rsidP="009E46B0">
      <w:pPr>
        <w:spacing w:before="240" w:after="240" w:line="240" w:lineRule="auto"/>
        <w:rPr>
          <w:rFonts w:ascii="Arial" w:eastAsia="Times New Roman" w:hAnsi="Arial" w:cs="Arial"/>
          <w:sz w:val="24"/>
          <w:szCs w:val="24"/>
          <w:lang w:eastAsia="pt-BR"/>
        </w:rPr>
      </w:pPr>
      <w:r w:rsidRPr="00A278B1">
        <w:rPr>
          <w:rFonts w:ascii="Arial" w:eastAsia="Times New Roman" w:hAnsi="Arial" w:cs="Arial"/>
          <w:color w:val="000000"/>
          <w:lang w:eastAsia="pt-BR"/>
        </w:rPr>
        <w:t xml:space="preserve">GERARDI, L. H. O.; SILVA, B. N. </w:t>
      </w:r>
      <w:r w:rsidRPr="00A278B1">
        <w:rPr>
          <w:rFonts w:ascii="Arial" w:eastAsia="Times New Roman" w:hAnsi="Arial" w:cs="Arial"/>
          <w:b/>
          <w:bCs/>
          <w:color w:val="000000"/>
          <w:lang w:eastAsia="pt-BR"/>
        </w:rPr>
        <w:t>Quantificação em Geografia</w:t>
      </w:r>
      <w:r w:rsidRPr="00A278B1">
        <w:rPr>
          <w:rFonts w:ascii="Arial" w:eastAsia="Times New Roman" w:hAnsi="Arial" w:cs="Arial"/>
          <w:color w:val="000000"/>
          <w:lang w:eastAsia="pt-BR"/>
        </w:rPr>
        <w:t>. 1. ed. São Paulo: DIFEL, 1981. p.99-104.</w:t>
      </w:r>
    </w:p>
    <w:p w14:paraId="6DE34A2D" w14:textId="77777777" w:rsidR="002E78A7" w:rsidRPr="00A278B1" w:rsidRDefault="002E78A7" w:rsidP="009E46B0">
      <w:pPr>
        <w:spacing w:before="240" w:after="240" w:line="240" w:lineRule="auto"/>
        <w:rPr>
          <w:rFonts w:ascii="Arial" w:eastAsia="Times New Roman" w:hAnsi="Arial" w:cs="Arial"/>
          <w:sz w:val="24"/>
          <w:szCs w:val="24"/>
          <w:lang w:eastAsia="pt-BR"/>
        </w:rPr>
      </w:pPr>
      <w:r w:rsidRPr="00A278B1">
        <w:rPr>
          <w:rFonts w:ascii="Arial" w:eastAsia="Times New Roman" w:hAnsi="Arial" w:cs="Arial"/>
          <w:color w:val="000000"/>
          <w:lang w:eastAsia="pt-BR"/>
        </w:rPr>
        <w:t xml:space="preserve">IBGE (INSTITUTO BRASILEIRO DE GEOGRAFIA E ESTATÍSTICA). </w:t>
      </w:r>
      <w:r w:rsidRPr="00A278B1">
        <w:rPr>
          <w:rFonts w:ascii="Arial" w:eastAsia="Times New Roman" w:hAnsi="Arial" w:cs="Arial"/>
          <w:b/>
          <w:bCs/>
          <w:color w:val="000000"/>
          <w:lang w:eastAsia="pt-BR"/>
        </w:rPr>
        <w:t>Região de Influência das cidades 2018</w:t>
      </w:r>
      <w:r w:rsidRPr="00A278B1">
        <w:rPr>
          <w:rFonts w:ascii="Arial" w:eastAsia="Times New Roman" w:hAnsi="Arial" w:cs="Arial"/>
          <w:color w:val="000000"/>
          <w:lang w:eastAsia="pt-BR"/>
        </w:rPr>
        <w:t>. IBGE: Rio de Janeiro, 2020.</w:t>
      </w:r>
    </w:p>
    <w:p w14:paraId="43A19C6E" w14:textId="77777777" w:rsidR="002E78A7" w:rsidRPr="00A278B1" w:rsidRDefault="002E78A7" w:rsidP="009E46B0">
      <w:pPr>
        <w:spacing w:before="240" w:after="240" w:line="240" w:lineRule="auto"/>
        <w:rPr>
          <w:rFonts w:ascii="Arial" w:eastAsia="Times New Roman" w:hAnsi="Arial" w:cs="Arial"/>
          <w:sz w:val="24"/>
          <w:szCs w:val="24"/>
          <w:lang w:eastAsia="pt-BR"/>
        </w:rPr>
      </w:pPr>
      <w:r w:rsidRPr="00A278B1">
        <w:rPr>
          <w:rFonts w:ascii="Arial" w:eastAsia="Times New Roman" w:hAnsi="Arial" w:cs="Arial"/>
          <w:color w:val="000000"/>
          <w:lang w:eastAsia="pt-BR"/>
        </w:rPr>
        <w:t>IBGE. Cidades. Disponível em &lt;</w:t>
      </w:r>
      <w:hyperlink r:id="rId14" w:history="1">
        <w:r w:rsidRPr="00A278B1">
          <w:rPr>
            <w:rFonts w:ascii="Arial" w:eastAsia="Times New Roman" w:hAnsi="Arial" w:cs="Arial"/>
            <w:color w:val="000000" w:themeColor="text1"/>
            <w:lang w:eastAsia="pt-BR"/>
          </w:rPr>
          <w:t xml:space="preserve"> https://cidades.ibge.gov.br/</w:t>
        </w:r>
      </w:hyperlink>
      <w:r w:rsidRPr="00A278B1">
        <w:rPr>
          <w:rFonts w:ascii="Arial" w:eastAsia="Times New Roman" w:hAnsi="Arial" w:cs="Arial"/>
          <w:color w:val="000000"/>
          <w:lang w:eastAsia="pt-BR"/>
        </w:rPr>
        <w:t xml:space="preserve"> &gt;. Acesso em: 14/05/2021</w:t>
      </w:r>
    </w:p>
    <w:p w14:paraId="29FAFA02" w14:textId="77777777" w:rsidR="002E78A7" w:rsidRPr="00A278B1" w:rsidRDefault="002E78A7" w:rsidP="009E46B0">
      <w:pPr>
        <w:spacing w:before="240" w:after="240" w:line="240" w:lineRule="auto"/>
        <w:rPr>
          <w:rFonts w:ascii="Arial" w:eastAsia="Times New Roman" w:hAnsi="Arial" w:cs="Arial"/>
          <w:sz w:val="24"/>
          <w:szCs w:val="24"/>
          <w:lang w:eastAsia="pt-BR"/>
        </w:rPr>
      </w:pPr>
      <w:r w:rsidRPr="00A278B1">
        <w:rPr>
          <w:rFonts w:ascii="Arial" w:eastAsia="Times New Roman" w:hAnsi="Arial" w:cs="Arial"/>
          <w:color w:val="000000"/>
          <w:lang w:eastAsia="pt-BR"/>
        </w:rPr>
        <w:lastRenderedPageBreak/>
        <w:t xml:space="preserve">MARINGÁ. Secretaria Municipal de Saúde. </w:t>
      </w:r>
      <w:r w:rsidRPr="00A278B1">
        <w:rPr>
          <w:rFonts w:ascii="Arial" w:eastAsia="Times New Roman" w:hAnsi="Arial" w:cs="Arial"/>
          <w:b/>
          <w:bCs/>
          <w:color w:val="000000"/>
          <w:lang w:eastAsia="pt-BR"/>
        </w:rPr>
        <w:t>Boletim Epidemiológico completo</w:t>
      </w:r>
      <w:r w:rsidRPr="00A278B1">
        <w:rPr>
          <w:rFonts w:ascii="Arial" w:eastAsia="Times New Roman" w:hAnsi="Arial" w:cs="Arial"/>
          <w:color w:val="000000"/>
          <w:lang w:eastAsia="pt-BR"/>
        </w:rPr>
        <w:t>, v. 24, p. 1-14, 26/</w:t>
      </w:r>
      <w:proofErr w:type="spellStart"/>
      <w:r w:rsidRPr="00A278B1">
        <w:rPr>
          <w:rFonts w:ascii="Arial" w:eastAsia="Times New Roman" w:hAnsi="Arial" w:cs="Arial"/>
          <w:color w:val="000000"/>
          <w:lang w:eastAsia="pt-BR"/>
        </w:rPr>
        <w:t>ma</w:t>
      </w:r>
      <w:proofErr w:type="spellEnd"/>
      <w:r w:rsidRPr="00A278B1">
        <w:rPr>
          <w:rFonts w:ascii="Arial" w:eastAsia="Times New Roman" w:hAnsi="Arial" w:cs="Arial"/>
          <w:color w:val="000000"/>
          <w:lang w:eastAsia="pt-BR"/>
        </w:rPr>
        <w:t>, 2021.</w:t>
      </w:r>
    </w:p>
    <w:p w14:paraId="1C55F499" w14:textId="77777777" w:rsidR="002E78A7" w:rsidRPr="00A278B1" w:rsidRDefault="002E78A7" w:rsidP="009E46B0">
      <w:pPr>
        <w:spacing w:before="240" w:after="240" w:line="240" w:lineRule="auto"/>
        <w:rPr>
          <w:rFonts w:ascii="Arial" w:eastAsia="Times New Roman" w:hAnsi="Arial" w:cs="Arial"/>
          <w:sz w:val="24"/>
          <w:szCs w:val="24"/>
          <w:lang w:eastAsia="pt-BR"/>
        </w:rPr>
      </w:pPr>
      <w:r w:rsidRPr="00A278B1">
        <w:rPr>
          <w:rFonts w:ascii="Arial" w:eastAsia="Times New Roman" w:hAnsi="Arial" w:cs="Arial"/>
          <w:color w:val="000000"/>
          <w:lang w:eastAsia="pt-BR"/>
        </w:rPr>
        <w:t xml:space="preserve">MARTINUCI et. al. Dispersão da covid-19 no estado do Paraná. </w:t>
      </w:r>
      <w:proofErr w:type="spellStart"/>
      <w:r w:rsidRPr="00A278B1">
        <w:rPr>
          <w:rFonts w:ascii="Arial" w:eastAsia="Times New Roman" w:hAnsi="Arial" w:cs="Arial"/>
          <w:b/>
          <w:bCs/>
          <w:color w:val="000000"/>
          <w:lang w:eastAsia="pt-BR"/>
        </w:rPr>
        <w:t>Hygeia</w:t>
      </w:r>
      <w:proofErr w:type="spellEnd"/>
      <w:r w:rsidRPr="00A278B1">
        <w:rPr>
          <w:rFonts w:ascii="Arial" w:eastAsia="Times New Roman" w:hAnsi="Arial" w:cs="Arial"/>
          <w:b/>
          <w:bCs/>
          <w:color w:val="000000"/>
          <w:lang w:eastAsia="pt-BR"/>
        </w:rPr>
        <w:t xml:space="preserve"> – Revista Brasileira de Geografia Médica e Saúde</w:t>
      </w:r>
      <w:r w:rsidRPr="00A278B1">
        <w:rPr>
          <w:rFonts w:ascii="Arial" w:eastAsia="Times New Roman" w:hAnsi="Arial" w:cs="Arial"/>
          <w:color w:val="000000"/>
          <w:lang w:eastAsia="pt-BR"/>
        </w:rPr>
        <w:t>, Uberlândia, Edição Especial, p. 251-262, jun. 2020.</w:t>
      </w:r>
    </w:p>
    <w:p w14:paraId="28954B34" w14:textId="77777777" w:rsidR="002E78A7" w:rsidRPr="00A278B1" w:rsidRDefault="002E78A7" w:rsidP="009E46B0">
      <w:pPr>
        <w:spacing w:before="240" w:after="240" w:line="240" w:lineRule="auto"/>
        <w:rPr>
          <w:rFonts w:ascii="Arial" w:eastAsia="Times New Roman" w:hAnsi="Arial" w:cs="Arial"/>
          <w:sz w:val="24"/>
          <w:szCs w:val="24"/>
          <w:lang w:eastAsia="pt-BR"/>
        </w:rPr>
      </w:pPr>
      <w:r w:rsidRPr="00A278B1">
        <w:rPr>
          <w:rFonts w:ascii="Arial" w:eastAsia="Times New Roman" w:hAnsi="Arial" w:cs="Arial"/>
          <w:color w:val="000000"/>
          <w:lang w:eastAsia="pt-BR"/>
        </w:rPr>
        <w:t xml:space="preserve">MARTINUCI et. al. Análise Geográfica da covid-19 em Maringá/PR. </w:t>
      </w:r>
      <w:proofErr w:type="spellStart"/>
      <w:r w:rsidRPr="00A278B1">
        <w:rPr>
          <w:rFonts w:ascii="Arial" w:eastAsia="Times New Roman" w:hAnsi="Arial" w:cs="Arial"/>
          <w:b/>
          <w:bCs/>
          <w:color w:val="000000"/>
          <w:lang w:eastAsia="pt-BR"/>
        </w:rPr>
        <w:t>Hygeia</w:t>
      </w:r>
      <w:proofErr w:type="spellEnd"/>
      <w:r w:rsidRPr="00A278B1">
        <w:rPr>
          <w:rFonts w:ascii="Arial" w:eastAsia="Times New Roman" w:hAnsi="Arial" w:cs="Arial"/>
          <w:b/>
          <w:bCs/>
          <w:color w:val="000000"/>
          <w:lang w:eastAsia="pt-BR"/>
        </w:rPr>
        <w:t xml:space="preserve"> – Revista Brasileira de Geografia Médica e Saúde</w:t>
      </w:r>
      <w:r w:rsidRPr="00A278B1">
        <w:rPr>
          <w:rFonts w:ascii="Arial" w:eastAsia="Times New Roman" w:hAnsi="Arial" w:cs="Arial"/>
          <w:color w:val="000000"/>
          <w:lang w:eastAsia="pt-BR"/>
        </w:rPr>
        <w:t>, Uberlândia, Edição Especial, p. 88-101, jun. 2020.</w:t>
      </w:r>
    </w:p>
    <w:p w14:paraId="0272D785" w14:textId="77777777" w:rsidR="002E78A7" w:rsidRPr="00A278B1" w:rsidRDefault="002E78A7" w:rsidP="009E46B0">
      <w:pPr>
        <w:spacing w:before="240" w:after="240" w:line="240" w:lineRule="auto"/>
        <w:rPr>
          <w:rFonts w:ascii="Arial" w:eastAsia="Times New Roman" w:hAnsi="Arial" w:cs="Arial"/>
          <w:sz w:val="24"/>
          <w:szCs w:val="24"/>
          <w:lang w:val="en-GB" w:eastAsia="pt-BR"/>
        </w:rPr>
      </w:pPr>
      <w:r w:rsidRPr="00A278B1">
        <w:rPr>
          <w:rFonts w:ascii="Arial" w:eastAsia="Times New Roman" w:hAnsi="Arial" w:cs="Arial"/>
          <w:color w:val="000000"/>
          <w:lang w:val="en-GB" w:eastAsia="pt-BR"/>
        </w:rPr>
        <w:t xml:space="preserve">NORTON, R. Offline: COVID-19 is not a pandemic. </w:t>
      </w:r>
      <w:r w:rsidRPr="00A278B1">
        <w:rPr>
          <w:rFonts w:ascii="Arial" w:eastAsia="Times New Roman" w:hAnsi="Arial" w:cs="Arial"/>
          <w:b/>
          <w:bCs/>
          <w:color w:val="000000"/>
          <w:lang w:val="en-GB" w:eastAsia="pt-BR"/>
        </w:rPr>
        <w:t>The Lancet</w:t>
      </w:r>
      <w:r w:rsidRPr="00A278B1">
        <w:rPr>
          <w:rFonts w:ascii="Arial" w:eastAsia="Times New Roman" w:hAnsi="Arial" w:cs="Arial"/>
          <w:color w:val="000000"/>
          <w:lang w:val="en-GB" w:eastAsia="pt-BR"/>
        </w:rPr>
        <w:t>, v. 396, n. 10255, p. 874, 26 de set., 2020.</w:t>
      </w:r>
    </w:p>
    <w:p w14:paraId="0AC2C3B0" w14:textId="77777777" w:rsidR="002E78A7" w:rsidRPr="00A278B1" w:rsidRDefault="002E78A7" w:rsidP="009E46B0">
      <w:pPr>
        <w:spacing w:after="0" w:line="240" w:lineRule="auto"/>
        <w:rPr>
          <w:rFonts w:ascii="Arial" w:eastAsia="Times New Roman" w:hAnsi="Arial" w:cs="Arial"/>
          <w:sz w:val="24"/>
          <w:szCs w:val="24"/>
          <w:lang w:eastAsia="pt-BR"/>
        </w:rPr>
      </w:pPr>
      <w:r w:rsidRPr="00A278B1">
        <w:rPr>
          <w:rFonts w:ascii="Arial" w:eastAsia="Times New Roman" w:hAnsi="Arial" w:cs="Arial"/>
          <w:color w:val="000000"/>
          <w:shd w:val="clear" w:color="auto" w:fill="FFFFFF"/>
          <w:lang w:eastAsia="pt-BR"/>
        </w:rPr>
        <w:t xml:space="preserve">NUNES, E. de P.; LEITE, E. S.; CARVALHO, W. R. G. de. Rastreamento geográfico da COVID-19 segundo fatores socioeconômicos e demográficos no município de Uberlândia, Minas Gerais. </w:t>
      </w:r>
      <w:proofErr w:type="spellStart"/>
      <w:r w:rsidRPr="00A278B1">
        <w:rPr>
          <w:rFonts w:ascii="Arial" w:eastAsia="Times New Roman" w:hAnsi="Arial" w:cs="Arial"/>
          <w:b/>
          <w:bCs/>
          <w:color w:val="000000"/>
          <w:shd w:val="clear" w:color="auto" w:fill="FFFFFF"/>
          <w:lang w:eastAsia="pt-BR"/>
        </w:rPr>
        <w:t>Journal</w:t>
      </w:r>
      <w:proofErr w:type="spellEnd"/>
      <w:r w:rsidRPr="00A278B1">
        <w:rPr>
          <w:rFonts w:ascii="Arial" w:eastAsia="Times New Roman" w:hAnsi="Arial" w:cs="Arial"/>
          <w:b/>
          <w:bCs/>
          <w:color w:val="000000"/>
          <w:shd w:val="clear" w:color="auto" w:fill="FFFFFF"/>
          <w:lang w:eastAsia="pt-BR"/>
        </w:rPr>
        <w:t xml:space="preserve"> </w:t>
      </w:r>
      <w:proofErr w:type="spellStart"/>
      <w:r w:rsidRPr="00A278B1">
        <w:rPr>
          <w:rFonts w:ascii="Arial" w:eastAsia="Times New Roman" w:hAnsi="Arial" w:cs="Arial"/>
          <w:b/>
          <w:bCs/>
          <w:color w:val="000000"/>
          <w:shd w:val="clear" w:color="auto" w:fill="FFFFFF"/>
          <w:lang w:eastAsia="pt-BR"/>
        </w:rPr>
        <w:t>of</w:t>
      </w:r>
      <w:proofErr w:type="spellEnd"/>
      <w:r w:rsidRPr="00A278B1">
        <w:rPr>
          <w:rFonts w:ascii="Arial" w:eastAsia="Times New Roman" w:hAnsi="Arial" w:cs="Arial"/>
          <w:b/>
          <w:bCs/>
          <w:color w:val="000000"/>
          <w:shd w:val="clear" w:color="auto" w:fill="FFFFFF"/>
          <w:lang w:eastAsia="pt-BR"/>
        </w:rPr>
        <w:t xml:space="preserve"> Health </w:t>
      </w:r>
      <w:proofErr w:type="spellStart"/>
      <w:r w:rsidRPr="00A278B1">
        <w:rPr>
          <w:rFonts w:ascii="Arial" w:eastAsia="Times New Roman" w:hAnsi="Arial" w:cs="Arial"/>
          <w:b/>
          <w:bCs/>
          <w:color w:val="000000"/>
          <w:shd w:val="clear" w:color="auto" w:fill="FFFFFF"/>
          <w:lang w:eastAsia="pt-BR"/>
        </w:rPr>
        <w:t>and</w:t>
      </w:r>
      <w:proofErr w:type="spellEnd"/>
      <w:r w:rsidRPr="00A278B1">
        <w:rPr>
          <w:rFonts w:ascii="Arial" w:eastAsia="Times New Roman" w:hAnsi="Arial" w:cs="Arial"/>
          <w:b/>
          <w:bCs/>
          <w:color w:val="000000"/>
          <w:shd w:val="clear" w:color="auto" w:fill="FFFFFF"/>
          <w:lang w:eastAsia="pt-BR"/>
        </w:rPr>
        <w:t xml:space="preserve"> </w:t>
      </w:r>
      <w:proofErr w:type="spellStart"/>
      <w:r w:rsidRPr="00A278B1">
        <w:rPr>
          <w:rFonts w:ascii="Arial" w:eastAsia="Times New Roman" w:hAnsi="Arial" w:cs="Arial"/>
          <w:b/>
          <w:bCs/>
          <w:color w:val="000000"/>
          <w:shd w:val="clear" w:color="auto" w:fill="FFFFFF"/>
          <w:lang w:eastAsia="pt-BR"/>
        </w:rPr>
        <w:t>Biological</w:t>
      </w:r>
      <w:proofErr w:type="spellEnd"/>
      <w:r w:rsidRPr="00A278B1">
        <w:rPr>
          <w:rFonts w:ascii="Arial" w:eastAsia="Times New Roman" w:hAnsi="Arial" w:cs="Arial"/>
          <w:b/>
          <w:bCs/>
          <w:color w:val="000000"/>
          <w:shd w:val="clear" w:color="auto" w:fill="FFFFFF"/>
          <w:lang w:eastAsia="pt-BR"/>
        </w:rPr>
        <w:t xml:space="preserve"> </w:t>
      </w:r>
      <w:proofErr w:type="spellStart"/>
      <w:r w:rsidRPr="00A278B1">
        <w:rPr>
          <w:rFonts w:ascii="Arial" w:eastAsia="Times New Roman" w:hAnsi="Arial" w:cs="Arial"/>
          <w:b/>
          <w:bCs/>
          <w:color w:val="000000"/>
          <w:shd w:val="clear" w:color="auto" w:fill="FFFFFF"/>
          <w:lang w:eastAsia="pt-BR"/>
        </w:rPr>
        <w:t>Sciences</w:t>
      </w:r>
      <w:proofErr w:type="spellEnd"/>
      <w:r w:rsidRPr="00A278B1">
        <w:rPr>
          <w:rFonts w:ascii="Arial" w:eastAsia="Times New Roman" w:hAnsi="Arial" w:cs="Arial"/>
          <w:color w:val="000000"/>
          <w:shd w:val="clear" w:color="auto" w:fill="FFFFFF"/>
          <w:lang w:eastAsia="pt-BR"/>
        </w:rPr>
        <w:t>, v. 8, n. 1, 2020. </w:t>
      </w:r>
    </w:p>
    <w:p w14:paraId="6CD9FD85" w14:textId="77777777" w:rsidR="002E78A7" w:rsidRPr="00A278B1" w:rsidRDefault="002E78A7" w:rsidP="009E46B0">
      <w:pPr>
        <w:spacing w:before="240" w:after="240" w:line="240" w:lineRule="auto"/>
        <w:rPr>
          <w:rFonts w:ascii="Arial" w:eastAsia="Times New Roman" w:hAnsi="Arial" w:cs="Arial"/>
          <w:sz w:val="24"/>
          <w:szCs w:val="24"/>
          <w:lang w:eastAsia="pt-BR"/>
        </w:rPr>
      </w:pPr>
      <w:r w:rsidRPr="00A278B1">
        <w:rPr>
          <w:rFonts w:ascii="Arial" w:eastAsia="Times New Roman" w:hAnsi="Arial" w:cs="Arial"/>
          <w:color w:val="000000"/>
          <w:lang w:eastAsia="pt-BR"/>
        </w:rPr>
        <w:t xml:space="preserve">PNDU. </w:t>
      </w:r>
      <w:r w:rsidRPr="00A278B1">
        <w:rPr>
          <w:rFonts w:ascii="Arial" w:eastAsia="Times New Roman" w:hAnsi="Arial" w:cs="Arial"/>
          <w:b/>
          <w:bCs/>
          <w:color w:val="000000"/>
          <w:lang w:eastAsia="pt-BR"/>
        </w:rPr>
        <w:t>Atlas do Desenvolvimento Humano no Brasil</w:t>
      </w:r>
      <w:r w:rsidRPr="00A278B1">
        <w:rPr>
          <w:rFonts w:ascii="Arial" w:eastAsia="Times New Roman" w:hAnsi="Arial" w:cs="Arial"/>
          <w:color w:val="000000"/>
          <w:lang w:eastAsia="pt-BR"/>
        </w:rPr>
        <w:t>. Disponível em &lt;</w:t>
      </w:r>
      <w:hyperlink r:id="rId15" w:history="1">
        <w:r w:rsidRPr="00A278B1">
          <w:rPr>
            <w:rFonts w:ascii="Arial" w:eastAsia="Times New Roman" w:hAnsi="Arial" w:cs="Arial"/>
            <w:color w:val="000000"/>
            <w:u w:val="single"/>
            <w:lang w:eastAsia="pt-BR"/>
          </w:rPr>
          <w:t xml:space="preserve"> </w:t>
        </w:r>
        <w:r w:rsidRPr="00A278B1">
          <w:rPr>
            <w:rFonts w:ascii="Arial" w:eastAsia="Times New Roman" w:hAnsi="Arial" w:cs="Arial"/>
            <w:color w:val="000000" w:themeColor="text1"/>
            <w:lang w:eastAsia="pt-BR"/>
          </w:rPr>
          <w:t>https://atlasbrasil.org.br/perfil</w:t>
        </w:r>
      </w:hyperlink>
      <w:r w:rsidRPr="00A278B1">
        <w:rPr>
          <w:rFonts w:ascii="Arial" w:eastAsia="Times New Roman" w:hAnsi="Arial" w:cs="Arial"/>
          <w:color w:val="000000"/>
          <w:lang w:eastAsia="pt-BR"/>
        </w:rPr>
        <w:t>&gt;. Acesso em: 14/05/2021.</w:t>
      </w:r>
    </w:p>
    <w:p w14:paraId="01DFCC33" w14:textId="1852B167" w:rsidR="002E78A7" w:rsidRPr="00A278B1" w:rsidRDefault="002E78A7" w:rsidP="009E46B0">
      <w:pPr>
        <w:spacing w:before="240" w:after="240" w:line="240" w:lineRule="auto"/>
        <w:rPr>
          <w:rFonts w:ascii="Arial" w:eastAsia="Times New Roman" w:hAnsi="Arial" w:cs="Arial"/>
          <w:color w:val="000000"/>
          <w:lang w:eastAsia="pt-BR"/>
        </w:rPr>
      </w:pPr>
      <w:r w:rsidRPr="00A278B1">
        <w:rPr>
          <w:rFonts w:ascii="Arial" w:eastAsia="Times New Roman" w:hAnsi="Arial" w:cs="Arial"/>
          <w:color w:val="000000"/>
          <w:lang w:eastAsia="pt-BR"/>
        </w:rPr>
        <w:t xml:space="preserve">RODRIGUES, A. M. Desigualdades socioespaciais, a luta pelo direito à cidade. </w:t>
      </w:r>
      <w:r w:rsidRPr="00A278B1">
        <w:rPr>
          <w:rFonts w:ascii="Arial" w:eastAsia="Times New Roman" w:hAnsi="Arial" w:cs="Arial"/>
          <w:b/>
          <w:bCs/>
          <w:color w:val="000000"/>
          <w:lang w:eastAsia="pt-BR"/>
        </w:rPr>
        <w:t>Revista Cidades</w:t>
      </w:r>
      <w:r w:rsidRPr="00A278B1">
        <w:rPr>
          <w:rFonts w:ascii="Arial" w:eastAsia="Times New Roman" w:hAnsi="Arial" w:cs="Arial"/>
          <w:color w:val="000000"/>
          <w:lang w:eastAsia="pt-BR"/>
        </w:rPr>
        <w:t>, v. 4, n. 6, p. 74-88. 2007.</w:t>
      </w:r>
    </w:p>
    <w:p w14:paraId="6E32F741" w14:textId="77777777" w:rsidR="00040370" w:rsidRPr="00A278B1" w:rsidRDefault="00040370" w:rsidP="009E46B0">
      <w:pPr>
        <w:spacing w:before="240" w:after="240" w:line="240" w:lineRule="auto"/>
        <w:rPr>
          <w:rFonts w:ascii="Arial" w:eastAsia="Times New Roman" w:hAnsi="Arial" w:cs="Arial"/>
          <w:color w:val="000000"/>
          <w:lang w:eastAsia="pt-BR"/>
        </w:rPr>
      </w:pPr>
      <w:r w:rsidRPr="00A278B1">
        <w:rPr>
          <w:rFonts w:ascii="Arial" w:eastAsia="Times New Roman" w:hAnsi="Arial" w:cs="Arial"/>
          <w:color w:val="000000"/>
          <w:lang w:eastAsia="pt-BR"/>
        </w:rPr>
        <w:t xml:space="preserve">RODRIGUES, R. I. </w:t>
      </w:r>
      <w:r w:rsidRPr="00A278B1">
        <w:rPr>
          <w:rFonts w:ascii="Arial" w:eastAsia="Times New Roman" w:hAnsi="Arial" w:cs="Arial"/>
          <w:b/>
          <w:color w:val="000000"/>
          <w:lang w:eastAsia="pt-BR"/>
        </w:rPr>
        <w:t>Nota Técnica n°39</w:t>
      </w:r>
      <w:r w:rsidRPr="00A278B1">
        <w:rPr>
          <w:rFonts w:ascii="Arial" w:eastAsia="Times New Roman" w:hAnsi="Arial" w:cs="Arial"/>
          <w:color w:val="000000"/>
          <w:lang w:eastAsia="pt-BR"/>
        </w:rPr>
        <w:t xml:space="preserve">. A Covid-19, a falta de água nas favelas e o direito à moradia no Brasil. Brasília: IPEA, 2020. </w:t>
      </w:r>
    </w:p>
    <w:p w14:paraId="01A972A9" w14:textId="34447419" w:rsidR="002E78A7" w:rsidRPr="00A278B1" w:rsidRDefault="002E78A7" w:rsidP="009E46B0">
      <w:pPr>
        <w:spacing w:before="240" w:after="240" w:line="240" w:lineRule="auto"/>
        <w:rPr>
          <w:rFonts w:ascii="Arial" w:eastAsia="Times New Roman" w:hAnsi="Arial" w:cs="Arial"/>
          <w:color w:val="000000"/>
          <w:lang w:eastAsia="pt-BR"/>
        </w:rPr>
      </w:pPr>
      <w:r w:rsidRPr="00A278B1">
        <w:rPr>
          <w:rFonts w:ascii="Arial" w:eastAsia="Times New Roman" w:hAnsi="Arial" w:cs="Arial"/>
          <w:color w:val="000000"/>
          <w:lang w:eastAsia="pt-BR"/>
        </w:rPr>
        <w:t xml:space="preserve">SANTOS, M. </w:t>
      </w:r>
      <w:r w:rsidRPr="00A278B1">
        <w:rPr>
          <w:rFonts w:ascii="Arial" w:eastAsia="Times New Roman" w:hAnsi="Arial" w:cs="Arial"/>
          <w:b/>
          <w:bCs/>
          <w:color w:val="000000"/>
          <w:lang w:eastAsia="pt-BR"/>
        </w:rPr>
        <w:t>A natureza do espaço</w:t>
      </w:r>
      <w:r w:rsidRPr="00A278B1">
        <w:rPr>
          <w:rFonts w:ascii="Arial" w:eastAsia="Times New Roman" w:hAnsi="Arial" w:cs="Arial"/>
          <w:color w:val="000000"/>
          <w:lang w:eastAsia="pt-BR"/>
        </w:rPr>
        <w:t>: técnica e tempo, razão e emoção. 4. ed. São Paulo: Edusp, 1996. p.113-279.</w:t>
      </w:r>
    </w:p>
    <w:p w14:paraId="5CA05E5D" w14:textId="1A66563F" w:rsidR="002E78A7" w:rsidRPr="00A278B1" w:rsidRDefault="002E78A7" w:rsidP="009E46B0">
      <w:pPr>
        <w:spacing w:before="240" w:after="240" w:line="240" w:lineRule="auto"/>
        <w:rPr>
          <w:rFonts w:ascii="Arial" w:eastAsia="Times New Roman" w:hAnsi="Arial" w:cs="Arial"/>
          <w:color w:val="000000"/>
          <w:lang w:eastAsia="pt-BR"/>
        </w:rPr>
      </w:pPr>
      <w:r w:rsidRPr="00A278B1">
        <w:rPr>
          <w:rFonts w:ascii="Arial" w:eastAsia="Times New Roman" w:hAnsi="Arial" w:cs="Arial"/>
          <w:color w:val="000000"/>
          <w:lang w:eastAsia="pt-BR"/>
        </w:rPr>
        <w:t xml:space="preserve">SANTOS, M. </w:t>
      </w:r>
      <w:r w:rsidRPr="00A278B1">
        <w:rPr>
          <w:rFonts w:ascii="Arial" w:eastAsia="Times New Roman" w:hAnsi="Arial" w:cs="Arial"/>
          <w:b/>
          <w:bCs/>
          <w:color w:val="000000"/>
          <w:lang w:eastAsia="pt-BR"/>
        </w:rPr>
        <w:t>Por uma geografia nova</w:t>
      </w:r>
      <w:r w:rsidRPr="00A278B1">
        <w:rPr>
          <w:rFonts w:ascii="Arial" w:eastAsia="Times New Roman" w:hAnsi="Arial" w:cs="Arial"/>
          <w:color w:val="000000"/>
          <w:lang w:eastAsia="pt-BR"/>
        </w:rPr>
        <w:t>: da crítica da geografia a uma geografia crítica. 6. ed. São Paulo: Edusp, 1978.</w:t>
      </w:r>
    </w:p>
    <w:p w14:paraId="02ED0CEC" w14:textId="4B464382" w:rsidR="002E78A7" w:rsidRPr="00B0296F" w:rsidRDefault="00040370" w:rsidP="009E46B0">
      <w:pPr>
        <w:spacing w:before="240" w:after="240" w:line="240" w:lineRule="auto"/>
        <w:rPr>
          <w:rFonts w:ascii="Arial" w:eastAsia="Times New Roman" w:hAnsi="Arial" w:cs="Arial"/>
          <w:color w:val="000000"/>
          <w:lang w:eastAsia="pt-BR"/>
        </w:rPr>
      </w:pPr>
      <w:r w:rsidRPr="00A278B1">
        <w:rPr>
          <w:rFonts w:ascii="Arial" w:eastAsia="Times New Roman" w:hAnsi="Arial" w:cs="Arial"/>
          <w:color w:val="000000"/>
          <w:lang w:eastAsia="pt-BR"/>
        </w:rPr>
        <w:t xml:space="preserve">THERY, H. </w:t>
      </w:r>
      <w:proofErr w:type="spellStart"/>
      <w:r w:rsidRPr="00A278B1">
        <w:rPr>
          <w:rFonts w:ascii="Arial" w:eastAsia="Times New Roman" w:hAnsi="Arial" w:cs="Arial"/>
          <w:b/>
          <w:color w:val="000000"/>
          <w:lang w:eastAsia="pt-BR"/>
        </w:rPr>
        <w:t>Quels</w:t>
      </w:r>
      <w:proofErr w:type="spellEnd"/>
      <w:r w:rsidRPr="00A278B1">
        <w:rPr>
          <w:rFonts w:ascii="Arial" w:eastAsia="Times New Roman" w:hAnsi="Arial" w:cs="Arial"/>
          <w:b/>
          <w:color w:val="000000"/>
          <w:lang w:eastAsia="pt-BR"/>
        </w:rPr>
        <w:t xml:space="preserve"> </w:t>
      </w:r>
      <w:proofErr w:type="spellStart"/>
      <w:r w:rsidRPr="00A278B1">
        <w:rPr>
          <w:rFonts w:ascii="Arial" w:eastAsia="Times New Roman" w:hAnsi="Arial" w:cs="Arial"/>
          <w:b/>
          <w:color w:val="000000"/>
          <w:lang w:eastAsia="pt-BR"/>
        </w:rPr>
        <w:t>sont</w:t>
      </w:r>
      <w:proofErr w:type="spellEnd"/>
      <w:r w:rsidRPr="00A278B1">
        <w:rPr>
          <w:rFonts w:ascii="Arial" w:eastAsia="Times New Roman" w:hAnsi="Arial" w:cs="Arial"/>
          <w:b/>
          <w:color w:val="000000"/>
          <w:lang w:eastAsia="pt-BR"/>
        </w:rPr>
        <w:t xml:space="preserve"> </w:t>
      </w:r>
      <w:proofErr w:type="spellStart"/>
      <w:r w:rsidRPr="00A278B1">
        <w:rPr>
          <w:rFonts w:ascii="Arial" w:eastAsia="Times New Roman" w:hAnsi="Arial" w:cs="Arial"/>
          <w:b/>
          <w:color w:val="000000"/>
          <w:lang w:eastAsia="pt-BR"/>
        </w:rPr>
        <w:t>les</w:t>
      </w:r>
      <w:proofErr w:type="spellEnd"/>
      <w:r w:rsidRPr="00A278B1">
        <w:rPr>
          <w:rFonts w:ascii="Arial" w:eastAsia="Times New Roman" w:hAnsi="Arial" w:cs="Arial"/>
          <w:b/>
          <w:color w:val="000000"/>
          <w:lang w:eastAsia="pt-BR"/>
        </w:rPr>
        <w:t xml:space="preserve"> </w:t>
      </w:r>
      <w:proofErr w:type="spellStart"/>
      <w:r w:rsidRPr="00A278B1">
        <w:rPr>
          <w:rFonts w:ascii="Arial" w:eastAsia="Times New Roman" w:hAnsi="Arial" w:cs="Arial"/>
          <w:b/>
          <w:color w:val="000000"/>
          <w:lang w:eastAsia="pt-BR"/>
        </w:rPr>
        <w:t>facteurs</w:t>
      </w:r>
      <w:proofErr w:type="spellEnd"/>
      <w:r w:rsidRPr="00A278B1">
        <w:rPr>
          <w:rFonts w:ascii="Arial" w:eastAsia="Times New Roman" w:hAnsi="Arial" w:cs="Arial"/>
          <w:b/>
          <w:color w:val="000000"/>
          <w:lang w:eastAsia="pt-BR"/>
        </w:rPr>
        <w:t xml:space="preserve"> </w:t>
      </w:r>
      <w:proofErr w:type="spellStart"/>
      <w:r w:rsidR="00B0296F" w:rsidRPr="00A278B1">
        <w:rPr>
          <w:rFonts w:ascii="Arial" w:eastAsia="Times New Roman" w:hAnsi="Arial" w:cs="Arial"/>
          <w:b/>
          <w:color w:val="000000"/>
          <w:lang w:eastAsia="pt-BR"/>
        </w:rPr>
        <w:t>associé</w:t>
      </w:r>
      <w:r w:rsidRPr="00A278B1">
        <w:rPr>
          <w:rFonts w:ascii="Arial" w:eastAsia="Times New Roman" w:hAnsi="Arial" w:cs="Arial"/>
          <w:b/>
          <w:color w:val="000000"/>
          <w:lang w:eastAsia="pt-BR"/>
        </w:rPr>
        <w:t>s</w:t>
      </w:r>
      <w:proofErr w:type="spellEnd"/>
      <w:r w:rsidRPr="00A278B1">
        <w:rPr>
          <w:rFonts w:ascii="Arial" w:eastAsia="Times New Roman" w:hAnsi="Arial" w:cs="Arial"/>
          <w:b/>
          <w:color w:val="000000"/>
          <w:lang w:eastAsia="pt-BR"/>
        </w:rPr>
        <w:t xml:space="preserve"> à </w:t>
      </w:r>
      <w:proofErr w:type="spellStart"/>
      <w:r w:rsidRPr="00A278B1">
        <w:rPr>
          <w:rFonts w:ascii="Arial" w:eastAsia="Times New Roman" w:hAnsi="Arial" w:cs="Arial"/>
          <w:b/>
          <w:color w:val="000000"/>
          <w:lang w:eastAsia="pt-BR"/>
        </w:rPr>
        <w:t>la</w:t>
      </w:r>
      <w:proofErr w:type="spellEnd"/>
      <w:r w:rsidRPr="00A278B1">
        <w:rPr>
          <w:rFonts w:ascii="Arial" w:eastAsia="Times New Roman" w:hAnsi="Arial" w:cs="Arial"/>
          <w:b/>
          <w:color w:val="000000"/>
          <w:lang w:eastAsia="pt-BR"/>
        </w:rPr>
        <w:t xml:space="preserve"> </w:t>
      </w:r>
      <w:proofErr w:type="spellStart"/>
      <w:r w:rsidRPr="00A278B1">
        <w:rPr>
          <w:rFonts w:ascii="Arial" w:eastAsia="Times New Roman" w:hAnsi="Arial" w:cs="Arial"/>
          <w:b/>
          <w:color w:val="000000"/>
          <w:lang w:eastAsia="pt-BR"/>
        </w:rPr>
        <w:t>propagation</w:t>
      </w:r>
      <w:proofErr w:type="spellEnd"/>
      <w:r w:rsidRPr="00A278B1">
        <w:rPr>
          <w:rFonts w:ascii="Arial" w:eastAsia="Times New Roman" w:hAnsi="Arial" w:cs="Arial"/>
          <w:b/>
          <w:color w:val="000000"/>
          <w:lang w:eastAsia="pt-BR"/>
        </w:rPr>
        <w:t xml:space="preserve"> de </w:t>
      </w:r>
      <w:proofErr w:type="spellStart"/>
      <w:r w:rsidRPr="00A278B1">
        <w:rPr>
          <w:rFonts w:ascii="Arial" w:eastAsia="Times New Roman" w:hAnsi="Arial" w:cs="Arial"/>
          <w:b/>
          <w:color w:val="000000"/>
          <w:lang w:eastAsia="pt-BR"/>
        </w:rPr>
        <w:t>l’épidémie</w:t>
      </w:r>
      <w:proofErr w:type="spellEnd"/>
      <w:r w:rsidRPr="00A278B1">
        <w:rPr>
          <w:rFonts w:ascii="Arial" w:eastAsia="Times New Roman" w:hAnsi="Arial" w:cs="Arial"/>
          <w:b/>
          <w:color w:val="000000"/>
          <w:lang w:eastAsia="pt-BR"/>
        </w:rPr>
        <w:t xml:space="preserve"> de Covid-19 </w:t>
      </w:r>
      <w:proofErr w:type="spellStart"/>
      <w:r w:rsidRPr="00A278B1">
        <w:rPr>
          <w:rFonts w:ascii="Arial" w:eastAsia="Times New Roman" w:hAnsi="Arial" w:cs="Arial"/>
          <w:b/>
          <w:color w:val="000000"/>
          <w:lang w:eastAsia="pt-BR"/>
        </w:rPr>
        <w:t>au</w:t>
      </w:r>
      <w:proofErr w:type="spellEnd"/>
      <w:r w:rsidRPr="00A278B1">
        <w:rPr>
          <w:rFonts w:ascii="Arial" w:eastAsia="Times New Roman" w:hAnsi="Arial" w:cs="Arial"/>
          <w:b/>
          <w:color w:val="000000"/>
          <w:lang w:eastAsia="pt-BR"/>
        </w:rPr>
        <w:t xml:space="preserve"> </w:t>
      </w:r>
      <w:proofErr w:type="spellStart"/>
      <w:proofErr w:type="gramStart"/>
      <w:r w:rsidRPr="00A278B1">
        <w:rPr>
          <w:rFonts w:ascii="Arial" w:eastAsia="Times New Roman" w:hAnsi="Arial" w:cs="Arial"/>
          <w:b/>
          <w:color w:val="000000"/>
          <w:lang w:eastAsia="pt-BR"/>
        </w:rPr>
        <w:t>Brésil</w:t>
      </w:r>
      <w:proofErr w:type="spellEnd"/>
      <w:r w:rsidRPr="00A278B1">
        <w:rPr>
          <w:rFonts w:ascii="Arial" w:eastAsia="Times New Roman" w:hAnsi="Arial" w:cs="Arial"/>
          <w:b/>
          <w:color w:val="000000"/>
          <w:lang w:eastAsia="pt-BR"/>
        </w:rPr>
        <w:t>?</w:t>
      </w:r>
      <w:r w:rsidRPr="00A278B1">
        <w:rPr>
          <w:rFonts w:ascii="Arial" w:eastAsia="Times New Roman" w:hAnsi="Arial" w:cs="Arial"/>
          <w:color w:val="000000"/>
          <w:lang w:eastAsia="pt-BR"/>
        </w:rPr>
        <w:t>.</w:t>
      </w:r>
      <w:proofErr w:type="gramEnd"/>
      <w:r w:rsidRPr="00A278B1">
        <w:rPr>
          <w:rFonts w:ascii="Arial" w:eastAsia="Times New Roman" w:hAnsi="Arial" w:cs="Arial"/>
          <w:color w:val="000000"/>
          <w:lang w:eastAsia="pt-BR"/>
        </w:rPr>
        <w:t xml:space="preserve"> Diploweb.com: La Revue </w:t>
      </w:r>
      <w:proofErr w:type="spellStart"/>
      <w:r w:rsidRPr="00A278B1">
        <w:rPr>
          <w:rFonts w:ascii="Arial" w:eastAsia="Times New Roman" w:hAnsi="Arial" w:cs="Arial"/>
          <w:color w:val="000000"/>
          <w:lang w:eastAsia="pt-BR"/>
        </w:rPr>
        <w:t>Géopolique</w:t>
      </w:r>
      <w:proofErr w:type="spellEnd"/>
      <w:r w:rsidRPr="00A278B1">
        <w:rPr>
          <w:rFonts w:ascii="Arial" w:eastAsia="Times New Roman" w:hAnsi="Arial" w:cs="Arial"/>
          <w:color w:val="000000"/>
          <w:lang w:eastAsia="pt-BR"/>
        </w:rPr>
        <w:t>, 05 de julho, 2020.</w:t>
      </w:r>
    </w:p>
    <w:p w14:paraId="2F9A5F45" w14:textId="77777777" w:rsidR="005042CC" w:rsidRDefault="005042CC"/>
    <w:sectPr w:rsidR="005042CC" w:rsidSect="009E46B0">
      <w:headerReference w:type="default" r:id="rId16"/>
      <w:footerReference w:type="default" r:id="rId17"/>
      <w:headerReference w:type="first" r:id="rId18"/>
      <w:footerReference w:type="first" r:id="rId19"/>
      <w:pgSz w:w="11906" w:h="16838"/>
      <w:pgMar w:top="1417" w:right="1700" w:bottom="1417" w:left="1701" w:header="708" w:footer="708" w:gutter="0"/>
      <w:pgNumType w:start="22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3BFE4" w14:textId="77777777" w:rsidR="00926D47" w:rsidRDefault="00926D47" w:rsidP="00F00674">
      <w:pPr>
        <w:spacing w:after="0" w:line="240" w:lineRule="auto"/>
      </w:pPr>
      <w:r>
        <w:separator/>
      </w:r>
    </w:p>
  </w:endnote>
  <w:endnote w:type="continuationSeparator" w:id="0">
    <w:p w14:paraId="674CFDF4" w14:textId="77777777" w:rsidR="00926D47" w:rsidRDefault="00926D47" w:rsidP="00F00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860252"/>
      <w:docPartObj>
        <w:docPartGallery w:val="Page Numbers (Bottom of Page)"/>
        <w:docPartUnique/>
      </w:docPartObj>
    </w:sdtPr>
    <w:sdtContent>
      <w:p w14:paraId="5E8021F2" w14:textId="3106C71F" w:rsidR="009E46B0" w:rsidRDefault="009E46B0">
        <w:pPr>
          <w:pStyle w:val="Rodap"/>
          <w:jc w:val="right"/>
        </w:pPr>
        <w:r>
          <w:fldChar w:fldCharType="begin"/>
        </w:r>
        <w:r>
          <w:instrText>PAGE   \* MERGEFORMAT</w:instrText>
        </w:r>
        <w:r>
          <w:fldChar w:fldCharType="separate"/>
        </w:r>
        <w:r>
          <w:t>2</w:t>
        </w:r>
        <w:r>
          <w:fldChar w:fldCharType="end"/>
        </w:r>
      </w:p>
    </w:sdtContent>
  </w:sdt>
  <w:p w14:paraId="6023F523" w14:textId="77777777" w:rsidR="009E46B0" w:rsidRDefault="009E46B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701447"/>
      <w:docPartObj>
        <w:docPartGallery w:val="Page Numbers (Bottom of Page)"/>
        <w:docPartUnique/>
      </w:docPartObj>
    </w:sdtPr>
    <w:sdtContent>
      <w:p w14:paraId="77F0AB34" w14:textId="763A94F2" w:rsidR="009E46B0" w:rsidRDefault="009E46B0">
        <w:pPr>
          <w:pStyle w:val="Rodap"/>
          <w:jc w:val="right"/>
        </w:pPr>
        <w:r>
          <w:fldChar w:fldCharType="begin"/>
        </w:r>
        <w:r>
          <w:instrText>PAGE   \* MERGEFORMAT</w:instrText>
        </w:r>
        <w:r>
          <w:fldChar w:fldCharType="separate"/>
        </w:r>
        <w:r>
          <w:t>2</w:t>
        </w:r>
        <w:r>
          <w:fldChar w:fldCharType="end"/>
        </w:r>
      </w:p>
    </w:sdtContent>
  </w:sdt>
  <w:p w14:paraId="668C3020" w14:textId="6F91663E" w:rsidR="00EA3552" w:rsidRPr="009E46B0" w:rsidRDefault="00EA3552" w:rsidP="009E46B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B1C95" w14:textId="77777777" w:rsidR="00926D47" w:rsidRDefault="00926D47" w:rsidP="00F00674">
      <w:pPr>
        <w:spacing w:after="0" w:line="240" w:lineRule="auto"/>
      </w:pPr>
      <w:r>
        <w:separator/>
      </w:r>
    </w:p>
  </w:footnote>
  <w:footnote w:type="continuationSeparator" w:id="0">
    <w:p w14:paraId="77D19874" w14:textId="77777777" w:rsidR="00926D47" w:rsidRDefault="00926D47" w:rsidP="00F00674">
      <w:pPr>
        <w:spacing w:after="0" w:line="240" w:lineRule="auto"/>
      </w:pPr>
      <w:r>
        <w:continuationSeparator/>
      </w:r>
    </w:p>
  </w:footnote>
  <w:footnote w:id="1">
    <w:p w14:paraId="4E95B4F3" w14:textId="27238791" w:rsidR="009E46B0" w:rsidRPr="009E46B0" w:rsidRDefault="009E46B0" w:rsidP="009E46B0">
      <w:pPr>
        <w:pStyle w:val="Rodap"/>
        <w:ind w:left="357"/>
        <w:rPr>
          <w:sz w:val="26"/>
          <w:szCs w:val="26"/>
          <w:vertAlign w:val="subscript"/>
        </w:rPr>
      </w:pPr>
      <w:r>
        <w:rPr>
          <w:rStyle w:val="Refdenotaderodap"/>
        </w:rPr>
        <w:footnoteRef/>
      </w:r>
      <w:r>
        <w:t xml:space="preserve"> </w:t>
      </w:r>
      <w:r w:rsidRPr="002D45E5">
        <w:rPr>
          <w:sz w:val="26"/>
          <w:szCs w:val="26"/>
          <w:vertAlign w:val="subscript"/>
        </w:rPr>
        <w:t xml:space="preserve">Graduando do Curso de Geografia da Universidade Estadual de Maringá/PR, </w:t>
      </w:r>
      <w:hyperlink r:id="rId1" w:history="1">
        <w:r w:rsidRPr="002D45E5">
          <w:rPr>
            <w:rStyle w:val="Hyperlink"/>
            <w:sz w:val="26"/>
            <w:szCs w:val="26"/>
            <w:vertAlign w:val="subscript"/>
          </w:rPr>
          <w:t>icarodacostafran@hotmail.com</w:t>
        </w:r>
      </w:hyperlink>
    </w:p>
  </w:footnote>
  <w:footnote w:id="2">
    <w:p w14:paraId="2BD30950" w14:textId="39A9A7FC" w:rsidR="009E46B0" w:rsidRPr="009E46B0" w:rsidRDefault="009E46B0" w:rsidP="009E46B0">
      <w:pPr>
        <w:pStyle w:val="Rodap"/>
        <w:ind w:left="357"/>
        <w:rPr>
          <w:sz w:val="26"/>
          <w:szCs w:val="26"/>
          <w:vertAlign w:val="subscript"/>
        </w:rPr>
      </w:pPr>
      <w:r>
        <w:rPr>
          <w:rStyle w:val="Refdenotaderodap"/>
        </w:rPr>
        <w:footnoteRef/>
      </w:r>
      <w:r>
        <w:t xml:space="preserve"> </w:t>
      </w:r>
      <w:r w:rsidRPr="002D45E5">
        <w:rPr>
          <w:sz w:val="26"/>
          <w:szCs w:val="26"/>
          <w:vertAlign w:val="subscript"/>
        </w:rPr>
        <w:t xml:space="preserve">Graduando do Curso de Geografia da Universidade Estadual de Maringá/PR, </w:t>
      </w:r>
      <w:hyperlink r:id="rId2" w:history="1">
        <w:r w:rsidRPr="002D45E5">
          <w:rPr>
            <w:rStyle w:val="Hyperlink"/>
            <w:sz w:val="26"/>
            <w:szCs w:val="26"/>
            <w:vertAlign w:val="subscript"/>
          </w:rPr>
          <w:t>bdgazola@hotmail.com</w:t>
        </w:r>
      </w:hyperlink>
    </w:p>
  </w:footnote>
  <w:footnote w:id="3">
    <w:p w14:paraId="66C09CB8" w14:textId="5FC5931D" w:rsidR="009E46B0" w:rsidRPr="009E46B0" w:rsidRDefault="009E46B0" w:rsidP="009E46B0">
      <w:pPr>
        <w:pStyle w:val="Rodap"/>
        <w:ind w:left="357"/>
        <w:rPr>
          <w:sz w:val="26"/>
          <w:szCs w:val="26"/>
          <w:vertAlign w:val="subscript"/>
        </w:rPr>
      </w:pPr>
      <w:r>
        <w:rPr>
          <w:rStyle w:val="Refdenotaderodap"/>
        </w:rPr>
        <w:footnoteRef/>
      </w:r>
      <w:r>
        <w:t xml:space="preserve"> </w:t>
      </w:r>
      <w:r w:rsidRPr="002D45E5">
        <w:rPr>
          <w:sz w:val="26"/>
          <w:szCs w:val="26"/>
          <w:vertAlign w:val="subscript"/>
        </w:rPr>
        <w:t xml:space="preserve">Graduando do Curso de Geografia da Universidade Estadual de Maringá/PR, </w:t>
      </w:r>
      <w:hyperlink r:id="rId3" w:history="1">
        <w:r w:rsidRPr="002D45E5">
          <w:rPr>
            <w:rStyle w:val="Hyperlink"/>
            <w:sz w:val="26"/>
            <w:szCs w:val="26"/>
            <w:vertAlign w:val="subscript"/>
          </w:rPr>
          <w:t>ingrid16januario16@gmail.com</w:t>
        </w:r>
      </w:hyperlink>
      <w:r w:rsidRPr="002D45E5">
        <w:rPr>
          <w:sz w:val="26"/>
          <w:szCs w:val="26"/>
        </w:rPr>
        <w:t xml:space="preserve"> </w:t>
      </w:r>
    </w:p>
  </w:footnote>
  <w:footnote w:id="4">
    <w:p w14:paraId="63915203" w14:textId="0CE61F6A" w:rsidR="009E46B0" w:rsidRDefault="009E46B0" w:rsidP="009E46B0">
      <w:pPr>
        <w:pStyle w:val="Rodap"/>
        <w:ind w:left="357"/>
      </w:pPr>
      <w:r>
        <w:rPr>
          <w:rStyle w:val="Refdenotaderodap"/>
        </w:rPr>
        <w:footnoteRef/>
      </w:r>
      <w:r>
        <w:t xml:space="preserve"> </w:t>
      </w:r>
      <w:r w:rsidRPr="002D45E5">
        <w:rPr>
          <w:sz w:val="26"/>
          <w:szCs w:val="26"/>
          <w:vertAlign w:val="subscript"/>
        </w:rPr>
        <w:t>docente do Programa de Pós-Graduação em Geografia da Universidade Estadual de Maringá/PR,</w:t>
      </w:r>
      <w:r w:rsidRPr="002D45E5">
        <w:rPr>
          <w:sz w:val="26"/>
          <w:szCs w:val="26"/>
        </w:rPr>
        <w:t xml:space="preserve"> </w:t>
      </w:r>
      <w:hyperlink r:id="rId4" w:history="1">
        <w:r w:rsidRPr="002D45E5">
          <w:rPr>
            <w:rStyle w:val="Hyperlink"/>
            <w:sz w:val="26"/>
            <w:szCs w:val="26"/>
            <w:vertAlign w:val="subscript"/>
          </w:rPr>
          <w:t>osmartinuci@uem.br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9D1E" w14:textId="4468566D" w:rsidR="001E66F4" w:rsidRDefault="001E66F4">
    <w:pPr>
      <w:pStyle w:val="Cabealho"/>
    </w:pPr>
    <w:r>
      <w:rPr>
        <w:noProof/>
      </w:rPr>
      <w:drawing>
        <wp:inline distT="0" distB="0" distL="0" distR="0" wp14:anchorId="13ACF71D" wp14:editId="26DDEAF9">
          <wp:extent cx="5400040" cy="122110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221105"/>
                  </a:xfrm>
                  <a:prstGeom prst="rect">
                    <a:avLst/>
                  </a:prstGeom>
                  <a:noFill/>
                  <a:ln>
                    <a:noFill/>
                  </a:ln>
                </pic:spPr>
              </pic:pic>
            </a:graphicData>
          </a:graphic>
        </wp:inline>
      </w:drawing>
    </w:r>
  </w:p>
  <w:p w14:paraId="71C87680" w14:textId="77777777" w:rsidR="001E66F4" w:rsidRDefault="001E66F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88D57" w14:textId="17A29FE3" w:rsidR="001E66F4" w:rsidRDefault="001E66F4">
    <w:pPr>
      <w:pStyle w:val="Cabealho"/>
    </w:pPr>
  </w:p>
  <w:p w14:paraId="30C41526" w14:textId="0A6351C8" w:rsidR="001E66F4" w:rsidRDefault="001E66F4">
    <w:pPr>
      <w:pStyle w:val="Cabealho"/>
    </w:pPr>
    <w:r>
      <w:rPr>
        <w:noProof/>
      </w:rPr>
      <w:drawing>
        <wp:inline distT="0" distB="0" distL="0" distR="0" wp14:anchorId="3267CC2A" wp14:editId="1D1BF2C3">
          <wp:extent cx="5400040" cy="122110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221105"/>
                  </a:xfrm>
                  <a:prstGeom prst="rect">
                    <a:avLst/>
                  </a:prstGeom>
                  <a:noFill/>
                  <a:ln>
                    <a:noFill/>
                  </a:ln>
                </pic:spPr>
              </pic:pic>
            </a:graphicData>
          </a:graphic>
        </wp:inline>
      </w:drawing>
    </w:r>
  </w:p>
  <w:p w14:paraId="39E79341" w14:textId="04F63DDA" w:rsidR="009E46B0" w:rsidRPr="002F4372" w:rsidRDefault="009E46B0" w:rsidP="009E46B0">
    <w:pPr>
      <w:spacing w:before="120" w:after="120" w:line="276" w:lineRule="auto"/>
      <w:ind w:right="-1"/>
      <w:jc w:val="both"/>
      <w:rPr>
        <w:b/>
        <w:bCs/>
        <w:color w:val="000000"/>
        <w:sz w:val="16"/>
        <w:szCs w:val="16"/>
      </w:rPr>
    </w:pPr>
    <w:r>
      <w:rPr>
        <w:color w:val="000000"/>
        <w:sz w:val="16"/>
        <w:szCs w:val="16"/>
      </w:rPr>
      <w:t>FRANCISCO, I.C</w:t>
    </w:r>
    <w:r>
      <w:rPr>
        <w:color w:val="000000"/>
        <w:sz w:val="16"/>
        <w:szCs w:val="16"/>
      </w:rPr>
      <w:t>.</w:t>
    </w:r>
    <w:r>
      <w:rPr>
        <w:color w:val="000000"/>
        <w:sz w:val="16"/>
        <w:szCs w:val="16"/>
      </w:rPr>
      <w:t>; GAZOLA, B.D.; AUGUSTO, I.J.; MARTINUCI. O.S.</w:t>
    </w:r>
    <w:r>
      <w:rPr>
        <w:color w:val="000000"/>
        <w:sz w:val="16"/>
        <w:szCs w:val="16"/>
      </w:rPr>
      <w:t xml:space="preserve"> </w:t>
    </w:r>
    <w:r>
      <w:rPr>
        <w:b/>
        <w:bCs/>
        <w:color w:val="000000"/>
        <w:sz w:val="16"/>
        <w:szCs w:val="16"/>
      </w:rPr>
      <w:t>Análise intraurbana da incidência e mortalidade por Covid-19 na cidade de Maringá-PR</w:t>
    </w:r>
    <w:r>
      <w:rPr>
        <w:rFonts w:ascii="Arial" w:hAnsi="Arial" w:cs="Arial"/>
        <w:b/>
        <w:bCs/>
        <w:color w:val="000000"/>
        <w:sz w:val="16"/>
        <w:szCs w:val="16"/>
      </w:rPr>
      <w:t>.</w:t>
    </w:r>
    <w:r w:rsidRPr="00137462">
      <w:rPr>
        <w:rFonts w:ascii="Arial" w:hAnsi="Arial" w:cs="Arial"/>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229-242</w:t>
    </w:r>
    <w:r w:rsidRPr="00137462">
      <w:rPr>
        <w:rFonts w:ascii="Arial" w:hAnsi="Arial" w:cs="Arial"/>
        <w:color w:val="000000"/>
        <w:sz w:val="16"/>
        <w:szCs w:val="16"/>
      </w:rPr>
      <w:t xml:space="preserve">.  Disponível em </w:t>
    </w:r>
    <w:hyperlink r:id="rId2" w:history="1">
      <w:r w:rsidRPr="00137462">
        <w:rPr>
          <w:rStyle w:val="Hyperlink"/>
          <w:rFonts w:ascii="Arial" w:hAnsi="Arial" w:cs="Arial"/>
          <w:sz w:val="16"/>
          <w:szCs w:val="16"/>
        </w:rPr>
        <w:t>https://www.anaisgeosaude.com</w:t>
      </w:r>
    </w:hyperlink>
    <w:r w:rsidRPr="00137462">
      <w:rPr>
        <w:rFonts w:ascii="Arial" w:hAnsi="Arial" w:cs="Arial"/>
        <w:color w:val="000000"/>
        <w:sz w:val="16"/>
        <w:szCs w:val="16"/>
      </w:rPr>
      <w:t xml:space="preserve">.  </w:t>
    </w:r>
    <w:r w:rsidRPr="00137462">
      <w:rPr>
        <w:rFonts w:ascii="Arial" w:hAnsi="Arial" w:cs="Arial"/>
        <w:b/>
        <w:bCs/>
        <w:color w:val="000000"/>
        <w:sz w:val="16"/>
        <w:szCs w:val="16"/>
      </w:rPr>
      <w:t>ISSN 1980-5829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BF4B8A"/>
    <w:multiLevelType w:val="hybridMultilevel"/>
    <w:tmpl w:val="B888B3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8A7"/>
    <w:rsid w:val="00040370"/>
    <w:rsid w:val="00053F3F"/>
    <w:rsid w:val="0006439C"/>
    <w:rsid w:val="000951E5"/>
    <w:rsid w:val="00123C5C"/>
    <w:rsid w:val="00135771"/>
    <w:rsid w:val="00135FF0"/>
    <w:rsid w:val="00152222"/>
    <w:rsid w:val="0018476E"/>
    <w:rsid w:val="001910C1"/>
    <w:rsid w:val="001B3823"/>
    <w:rsid w:val="001C6744"/>
    <w:rsid w:val="001D6D31"/>
    <w:rsid w:val="001E57C0"/>
    <w:rsid w:val="001E66F4"/>
    <w:rsid w:val="00215D27"/>
    <w:rsid w:val="00222973"/>
    <w:rsid w:val="00227DA2"/>
    <w:rsid w:val="002336D6"/>
    <w:rsid w:val="00234A5D"/>
    <w:rsid w:val="00242E56"/>
    <w:rsid w:val="00245B11"/>
    <w:rsid w:val="00260F61"/>
    <w:rsid w:val="00266970"/>
    <w:rsid w:val="00271929"/>
    <w:rsid w:val="00284A49"/>
    <w:rsid w:val="00293A4B"/>
    <w:rsid w:val="00297E63"/>
    <w:rsid w:val="002B76B0"/>
    <w:rsid w:val="002D45E5"/>
    <w:rsid w:val="002E6351"/>
    <w:rsid w:val="002E78A7"/>
    <w:rsid w:val="00330D42"/>
    <w:rsid w:val="00351676"/>
    <w:rsid w:val="00385083"/>
    <w:rsid w:val="0039297A"/>
    <w:rsid w:val="00393312"/>
    <w:rsid w:val="003E76F5"/>
    <w:rsid w:val="004202E0"/>
    <w:rsid w:val="00422B0C"/>
    <w:rsid w:val="00496E5D"/>
    <w:rsid w:val="004C7516"/>
    <w:rsid w:val="004E72CA"/>
    <w:rsid w:val="005042CC"/>
    <w:rsid w:val="00505C9A"/>
    <w:rsid w:val="005562E7"/>
    <w:rsid w:val="00577004"/>
    <w:rsid w:val="00596316"/>
    <w:rsid w:val="005B16AE"/>
    <w:rsid w:val="005B6238"/>
    <w:rsid w:val="005D2202"/>
    <w:rsid w:val="005D22FD"/>
    <w:rsid w:val="00606F5D"/>
    <w:rsid w:val="00631976"/>
    <w:rsid w:val="00670DD7"/>
    <w:rsid w:val="00671573"/>
    <w:rsid w:val="006748BC"/>
    <w:rsid w:val="006F0D11"/>
    <w:rsid w:val="006F63A8"/>
    <w:rsid w:val="007035BD"/>
    <w:rsid w:val="00720C2C"/>
    <w:rsid w:val="007301B3"/>
    <w:rsid w:val="007537AE"/>
    <w:rsid w:val="00757FF6"/>
    <w:rsid w:val="0078042D"/>
    <w:rsid w:val="007A6EE0"/>
    <w:rsid w:val="007C0D62"/>
    <w:rsid w:val="007F4774"/>
    <w:rsid w:val="00825B68"/>
    <w:rsid w:val="00843B2A"/>
    <w:rsid w:val="00887EF5"/>
    <w:rsid w:val="008A42BD"/>
    <w:rsid w:val="008C065D"/>
    <w:rsid w:val="008C0CCC"/>
    <w:rsid w:val="009030C3"/>
    <w:rsid w:val="009062D4"/>
    <w:rsid w:val="00926D47"/>
    <w:rsid w:val="00933CED"/>
    <w:rsid w:val="00953193"/>
    <w:rsid w:val="009540EC"/>
    <w:rsid w:val="00966A58"/>
    <w:rsid w:val="009A3279"/>
    <w:rsid w:val="009C3B76"/>
    <w:rsid w:val="009E46B0"/>
    <w:rsid w:val="00A10391"/>
    <w:rsid w:val="00A23544"/>
    <w:rsid w:val="00A278B1"/>
    <w:rsid w:val="00A3422C"/>
    <w:rsid w:val="00A50FD7"/>
    <w:rsid w:val="00A5132A"/>
    <w:rsid w:val="00A5420F"/>
    <w:rsid w:val="00A95772"/>
    <w:rsid w:val="00AD1A1C"/>
    <w:rsid w:val="00AE4102"/>
    <w:rsid w:val="00AF04B8"/>
    <w:rsid w:val="00AF1AF2"/>
    <w:rsid w:val="00B0296F"/>
    <w:rsid w:val="00B41F83"/>
    <w:rsid w:val="00B51586"/>
    <w:rsid w:val="00B5493E"/>
    <w:rsid w:val="00B83BF5"/>
    <w:rsid w:val="00B86C52"/>
    <w:rsid w:val="00BB2DEE"/>
    <w:rsid w:val="00BC008E"/>
    <w:rsid w:val="00BD40C8"/>
    <w:rsid w:val="00C3110C"/>
    <w:rsid w:val="00C64154"/>
    <w:rsid w:val="00C64359"/>
    <w:rsid w:val="00CF72B8"/>
    <w:rsid w:val="00D12EC9"/>
    <w:rsid w:val="00D61F28"/>
    <w:rsid w:val="00D9176E"/>
    <w:rsid w:val="00DA0E49"/>
    <w:rsid w:val="00DA2DD9"/>
    <w:rsid w:val="00E224ED"/>
    <w:rsid w:val="00E314A9"/>
    <w:rsid w:val="00E756D3"/>
    <w:rsid w:val="00EA3552"/>
    <w:rsid w:val="00EC2E0F"/>
    <w:rsid w:val="00F00674"/>
    <w:rsid w:val="00F120E2"/>
    <w:rsid w:val="00F24C7A"/>
    <w:rsid w:val="00F2681B"/>
    <w:rsid w:val="00F444A6"/>
    <w:rsid w:val="00F515B2"/>
    <w:rsid w:val="00F607F3"/>
    <w:rsid w:val="00F65FFE"/>
    <w:rsid w:val="00F75B4D"/>
    <w:rsid w:val="00F77C61"/>
    <w:rsid w:val="00F77E31"/>
    <w:rsid w:val="00F85464"/>
    <w:rsid w:val="00F9288D"/>
    <w:rsid w:val="00FA40EC"/>
    <w:rsid w:val="00FC015E"/>
    <w:rsid w:val="00FC3549"/>
    <w:rsid w:val="00FF59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E8B41"/>
  <w15:docId w15:val="{1DC297EA-DEA4-463D-BC26-E595E1289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2E78A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2E78A7"/>
  </w:style>
  <w:style w:type="character" w:styleId="Hyperlink">
    <w:name w:val="Hyperlink"/>
    <w:basedOn w:val="Fontepargpadro"/>
    <w:uiPriority w:val="99"/>
    <w:unhideWhenUsed/>
    <w:rsid w:val="002E78A7"/>
    <w:rPr>
      <w:color w:val="0000FF"/>
      <w:u w:val="single"/>
    </w:rPr>
  </w:style>
  <w:style w:type="table" w:styleId="Tabelacomgrade">
    <w:name w:val="Table Grid"/>
    <w:basedOn w:val="Tabelanormal"/>
    <w:uiPriority w:val="39"/>
    <w:rsid w:val="00AD1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D9176E"/>
    <w:rPr>
      <w:sz w:val="16"/>
      <w:szCs w:val="16"/>
    </w:rPr>
  </w:style>
  <w:style w:type="paragraph" w:styleId="Textodecomentrio">
    <w:name w:val="annotation text"/>
    <w:basedOn w:val="Normal"/>
    <w:link w:val="TextodecomentrioChar"/>
    <w:uiPriority w:val="99"/>
    <w:semiHidden/>
    <w:unhideWhenUsed/>
    <w:rsid w:val="00D9176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9176E"/>
    <w:rPr>
      <w:sz w:val="20"/>
      <w:szCs w:val="20"/>
    </w:rPr>
  </w:style>
  <w:style w:type="paragraph" w:styleId="Assuntodocomentrio">
    <w:name w:val="annotation subject"/>
    <w:basedOn w:val="Textodecomentrio"/>
    <w:next w:val="Textodecomentrio"/>
    <w:link w:val="AssuntodocomentrioChar"/>
    <w:uiPriority w:val="99"/>
    <w:semiHidden/>
    <w:unhideWhenUsed/>
    <w:rsid w:val="00D9176E"/>
    <w:rPr>
      <w:b/>
      <w:bCs/>
    </w:rPr>
  </w:style>
  <w:style w:type="character" w:customStyle="1" w:styleId="AssuntodocomentrioChar">
    <w:name w:val="Assunto do comentário Char"/>
    <w:basedOn w:val="TextodecomentrioChar"/>
    <w:link w:val="Assuntodocomentrio"/>
    <w:uiPriority w:val="99"/>
    <w:semiHidden/>
    <w:rsid w:val="00D9176E"/>
    <w:rPr>
      <w:b/>
      <w:bCs/>
      <w:sz w:val="20"/>
      <w:szCs w:val="20"/>
    </w:rPr>
  </w:style>
  <w:style w:type="paragraph" w:styleId="Textodebalo">
    <w:name w:val="Balloon Text"/>
    <w:basedOn w:val="Normal"/>
    <w:link w:val="TextodebaloChar"/>
    <w:uiPriority w:val="99"/>
    <w:semiHidden/>
    <w:unhideWhenUsed/>
    <w:rsid w:val="008A42B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A42BD"/>
    <w:rPr>
      <w:rFonts w:ascii="Segoe UI" w:hAnsi="Segoe UI" w:cs="Segoe UI"/>
      <w:sz w:val="18"/>
      <w:szCs w:val="18"/>
    </w:rPr>
  </w:style>
  <w:style w:type="paragraph" w:styleId="Cabealho">
    <w:name w:val="header"/>
    <w:basedOn w:val="Normal"/>
    <w:link w:val="CabealhoChar"/>
    <w:uiPriority w:val="99"/>
    <w:unhideWhenUsed/>
    <w:rsid w:val="00F0067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00674"/>
  </w:style>
  <w:style w:type="paragraph" w:styleId="Rodap">
    <w:name w:val="footer"/>
    <w:basedOn w:val="Normal"/>
    <w:link w:val="RodapChar"/>
    <w:uiPriority w:val="99"/>
    <w:unhideWhenUsed/>
    <w:rsid w:val="00F00674"/>
    <w:pPr>
      <w:tabs>
        <w:tab w:val="center" w:pos="4252"/>
        <w:tab w:val="right" w:pos="8504"/>
      </w:tabs>
      <w:spacing w:after="0" w:line="240" w:lineRule="auto"/>
    </w:pPr>
  </w:style>
  <w:style w:type="character" w:customStyle="1" w:styleId="RodapChar">
    <w:name w:val="Rodapé Char"/>
    <w:basedOn w:val="Fontepargpadro"/>
    <w:link w:val="Rodap"/>
    <w:uiPriority w:val="99"/>
    <w:rsid w:val="00F00674"/>
  </w:style>
  <w:style w:type="character" w:styleId="MenoPendente">
    <w:name w:val="Unresolved Mention"/>
    <w:basedOn w:val="Fontepargpadro"/>
    <w:uiPriority w:val="99"/>
    <w:semiHidden/>
    <w:unhideWhenUsed/>
    <w:rsid w:val="0039297A"/>
    <w:rPr>
      <w:color w:val="605E5C"/>
      <w:shd w:val="clear" w:color="auto" w:fill="E1DFDD"/>
    </w:rPr>
  </w:style>
  <w:style w:type="paragraph" w:styleId="Textodenotaderodap">
    <w:name w:val="footnote text"/>
    <w:basedOn w:val="Normal"/>
    <w:link w:val="TextodenotaderodapChar"/>
    <w:uiPriority w:val="99"/>
    <w:semiHidden/>
    <w:unhideWhenUsed/>
    <w:rsid w:val="009E46B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E46B0"/>
    <w:rPr>
      <w:sz w:val="20"/>
      <w:szCs w:val="20"/>
    </w:rPr>
  </w:style>
  <w:style w:type="character" w:styleId="Refdenotaderodap">
    <w:name w:val="footnote reference"/>
    <w:basedOn w:val="Fontepargpadro"/>
    <w:uiPriority w:val="99"/>
    <w:semiHidden/>
    <w:unhideWhenUsed/>
    <w:rsid w:val="009E46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632863">
      <w:bodyDiv w:val="1"/>
      <w:marLeft w:val="0"/>
      <w:marRight w:val="0"/>
      <w:marTop w:val="0"/>
      <w:marBottom w:val="0"/>
      <w:divBdr>
        <w:top w:val="none" w:sz="0" w:space="0" w:color="auto"/>
        <w:left w:val="none" w:sz="0" w:space="0" w:color="auto"/>
        <w:bottom w:val="none" w:sz="0" w:space="0" w:color="auto"/>
        <w:right w:val="none" w:sz="0" w:space="0" w:color="auto"/>
      </w:divBdr>
    </w:div>
    <w:div w:id="1002512980">
      <w:bodyDiv w:val="1"/>
      <w:marLeft w:val="0"/>
      <w:marRight w:val="0"/>
      <w:marTop w:val="0"/>
      <w:marBottom w:val="0"/>
      <w:divBdr>
        <w:top w:val="none" w:sz="0" w:space="0" w:color="auto"/>
        <w:left w:val="none" w:sz="0" w:space="0" w:color="auto"/>
        <w:bottom w:val="none" w:sz="0" w:space="0" w:color="auto"/>
        <w:right w:val="none" w:sz="0" w:space="0" w:color="auto"/>
      </w:divBdr>
      <w:divsChild>
        <w:div w:id="70323399">
          <w:marLeft w:val="-315"/>
          <w:marRight w:val="0"/>
          <w:marTop w:val="0"/>
          <w:marBottom w:val="0"/>
          <w:divBdr>
            <w:top w:val="none" w:sz="0" w:space="0" w:color="auto"/>
            <w:left w:val="none" w:sz="0" w:space="0" w:color="auto"/>
            <w:bottom w:val="none" w:sz="0" w:space="0" w:color="auto"/>
            <w:right w:val="none" w:sz="0" w:space="0" w:color="auto"/>
          </w:divBdr>
        </w:div>
        <w:div w:id="439380019">
          <w:marLeft w:val="-180"/>
          <w:marRight w:val="0"/>
          <w:marTop w:val="0"/>
          <w:marBottom w:val="0"/>
          <w:divBdr>
            <w:top w:val="none" w:sz="0" w:space="0" w:color="auto"/>
            <w:left w:val="none" w:sz="0" w:space="0" w:color="auto"/>
            <w:bottom w:val="none" w:sz="0" w:space="0" w:color="auto"/>
            <w:right w:val="none" w:sz="0" w:space="0" w:color="auto"/>
          </w:divBdr>
        </w:div>
      </w:divsChild>
    </w:div>
    <w:div w:id="1565529665">
      <w:bodyDiv w:val="1"/>
      <w:marLeft w:val="0"/>
      <w:marRight w:val="0"/>
      <w:marTop w:val="0"/>
      <w:marBottom w:val="0"/>
      <w:divBdr>
        <w:top w:val="none" w:sz="0" w:space="0" w:color="auto"/>
        <w:left w:val="none" w:sz="0" w:space="0" w:color="auto"/>
        <w:bottom w:val="none" w:sz="0" w:space="0" w:color="auto"/>
        <w:right w:val="none" w:sz="0" w:space="0" w:color="auto"/>
      </w:divBdr>
    </w:div>
    <w:div w:id="2048219803">
      <w:bodyDiv w:val="1"/>
      <w:marLeft w:val="0"/>
      <w:marRight w:val="0"/>
      <w:marTop w:val="0"/>
      <w:marBottom w:val="0"/>
      <w:divBdr>
        <w:top w:val="none" w:sz="0" w:space="0" w:color="auto"/>
        <w:left w:val="none" w:sz="0" w:space="0" w:color="auto"/>
        <w:bottom w:val="none" w:sz="0" w:space="0" w:color="auto"/>
        <w:right w:val="none" w:sz="0" w:space="0" w:color="auto"/>
      </w:divBdr>
      <w:divsChild>
        <w:div w:id="2027168404">
          <w:marLeft w:val="0"/>
          <w:marRight w:val="0"/>
          <w:marTop w:val="0"/>
          <w:marBottom w:val="0"/>
          <w:divBdr>
            <w:top w:val="none" w:sz="0" w:space="0" w:color="auto"/>
            <w:left w:val="none" w:sz="0" w:space="0" w:color="auto"/>
            <w:bottom w:val="none" w:sz="0" w:space="0" w:color="auto"/>
            <w:right w:val="none" w:sz="0" w:space="0" w:color="auto"/>
          </w:divBdr>
        </w:div>
        <w:div w:id="426778669">
          <w:marLeft w:val="0"/>
          <w:marRight w:val="0"/>
          <w:marTop w:val="0"/>
          <w:marBottom w:val="0"/>
          <w:divBdr>
            <w:top w:val="none" w:sz="0" w:space="0" w:color="auto"/>
            <w:left w:val="none" w:sz="0" w:space="0" w:color="auto"/>
            <w:bottom w:val="none" w:sz="0" w:space="0" w:color="auto"/>
            <w:right w:val="none" w:sz="0" w:space="0" w:color="auto"/>
          </w:divBdr>
        </w:div>
        <w:div w:id="1684892739">
          <w:marLeft w:val="0"/>
          <w:marRight w:val="0"/>
          <w:marTop w:val="0"/>
          <w:marBottom w:val="0"/>
          <w:divBdr>
            <w:top w:val="none" w:sz="0" w:space="0" w:color="auto"/>
            <w:left w:val="none" w:sz="0" w:space="0" w:color="auto"/>
            <w:bottom w:val="none" w:sz="0" w:space="0" w:color="auto"/>
            <w:right w:val="none" w:sz="0" w:space="0" w:color="auto"/>
          </w:divBdr>
        </w:div>
        <w:div w:id="16013747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journals.openedition.org/confins/34667"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atlasbrasil.org.br/perfil"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idades.ibge.gov.b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ingrid16januario16@gmail.com" TargetMode="External"/><Relationship Id="rId2" Type="http://schemas.openxmlformats.org/officeDocument/2006/relationships/hyperlink" Target="mailto:bdgazola@hotmail.com" TargetMode="External"/><Relationship Id="rId1" Type="http://schemas.openxmlformats.org/officeDocument/2006/relationships/hyperlink" Target="mailto:icarodacostafran@hotmail.com" TargetMode="External"/><Relationship Id="rId4" Type="http://schemas.openxmlformats.org/officeDocument/2006/relationships/hyperlink" Target="mailto:osmartinuci@ue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C0FBA-2BD6-49E1-A4D1-ADD4024FF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14</Pages>
  <Words>4382</Words>
  <Characters>23665</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Januário</dc:creator>
  <cp:keywords/>
  <dc:description/>
  <cp:lastModifiedBy>XISTO SOUZA JÚNIOR</cp:lastModifiedBy>
  <cp:revision>6</cp:revision>
  <cp:lastPrinted>2021-05-30T23:09:00Z</cp:lastPrinted>
  <dcterms:created xsi:type="dcterms:W3CDTF">2021-05-30T23:27:00Z</dcterms:created>
  <dcterms:modified xsi:type="dcterms:W3CDTF">2021-08-14T14:39:00Z</dcterms:modified>
</cp:coreProperties>
</file>