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81A86" w14:textId="6227A8A6" w:rsidR="00A76199" w:rsidRDefault="002B1615" w:rsidP="00A76199">
      <w:pPr>
        <w:autoSpaceDE w:val="0"/>
        <w:autoSpaceDN w:val="0"/>
        <w:adjustRightInd w:val="0"/>
        <w:spacing w:before="120" w:after="120" w:line="240" w:lineRule="auto"/>
        <w:jc w:val="center"/>
        <w:rPr>
          <w:rFonts w:cs="Arial"/>
          <w:b/>
          <w:bCs/>
        </w:rPr>
      </w:pPr>
      <w:r>
        <w:rPr>
          <w:rFonts w:cs="Arial"/>
          <w:b/>
          <w:bCs/>
        </w:rPr>
        <w:t xml:space="preserve">INIQUIDADES NO </w:t>
      </w:r>
      <w:r w:rsidR="00652B2C">
        <w:rPr>
          <w:rFonts w:cs="Arial"/>
          <w:b/>
          <w:bCs/>
        </w:rPr>
        <w:t xml:space="preserve">ACESSO </w:t>
      </w:r>
      <w:r>
        <w:rPr>
          <w:rFonts w:cs="Arial"/>
          <w:b/>
          <w:bCs/>
        </w:rPr>
        <w:t xml:space="preserve">DOS IDOSOS </w:t>
      </w:r>
      <w:r w:rsidR="00652B2C">
        <w:rPr>
          <w:rFonts w:cs="Arial"/>
          <w:b/>
          <w:bCs/>
        </w:rPr>
        <w:t>A</w:t>
      </w:r>
      <w:r w:rsidR="00A04E6A">
        <w:rPr>
          <w:rFonts w:cs="Arial"/>
          <w:b/>
          <w:bCs/>
        </w:rPr>
        <w:t xml:space="preserve"> </w:t>
      </w:r>
      <w:r w:rsidR="00A76199" w:rsidRPr="00D435F4">
        <w:rPr>
          <w:rFonts w:cs="Arial"/>
          <w:b/>
          <w:bCs/>
        </w:rPr>
        <w:t xml:space="preserve">CUIDADOS DE SAÚDE PRIMÁRIOS </w:t>
      </w:r>
      <w:r w:rsidR="00652B2C">
        <w:rPr>
          <w:rFonts w:cs="Arial"/>
          <w:b/>
          <w:bCs/>
        </w:rPr>
        <w:t xml:space="preserve">– O EFEITO DO MODELO DE URBANIZAÇÃO </w:t>
      </w:r>
      <w:r w:rsidR="00A76199">
        <w:rPr>
          <w:rFonts w:cs="Arial"/>
          <w:b/>
          <w:bCs/>
        </w:rPr>
        <w:t>N</w:t>
      </w:r>
      <w:r w:rsidR="00A76199" w:rsidRPr="00D435F4">
        <w:rPr>
          <w:rFonts w:cs="Arial"/>
          <w:b/>
          <w:bCs/>
        </w:rPr>
        <w:t>A ÁREA METROPOLITANA DE LISBOA</w:t>
      </w:r>
      <w:r w:rsidR="00A04E6A">
        <w:rPr>
          <w:rFonts w:cs="Arial"/>
          <w:b/>
          <w:bCs/>
        </w:rPr>
        <w:t>, PORTUGAL</w:t>
      </w:r>
    </w:p>
    <w:p w14:paraId="5DC91587" w14:textId="77777777" w:rsidR="007277C0" w:rsidRDefault="007277C0" w:rsidP="007277C0">
      <w:pPr>
        <w:autoSpaceDE w:val="0"/>
        <w:autoSpaceDN w:val="0"/>
        <w:adjustRightInd w:val="0"/>
        <w:spacing w:before="120" w:after="120" w:line="240" w:lineRule="auto"/>
        <w:jc w:val="center"/>
        <w:rPr>
          <w:rFonts w:cs="Arial"/>
          <w:b/>
          <w:bCs/>
        </w:rPr>
      </w:pPr>
    </w:p>
    <w:p w14:paraId="064BBBE1" w14:textId="12EC8C84" w:rsidR="00D60F01" w:rsidRDefault="00D435F4" w:rsidP="00924311">
      <w:pPr>
        <w:autoSpaceDE w:val="0"/>
        <w:autoSpaceDN w:val="0"/>
        <w:adjustRightInd w:val="0"/>
        <w:spacing w:after="0" w:line="240" w:lineRule="auto"/>
        <w:jc w:val="right"/>
        <w:rPr>
          <w:rFonts w:cs="Arial"/>
          <w:bCs/>
          <w:sz w:val="20"/>
          <w:szCs w:val="20"/>
        </w:rPr>
      </w:pPr>
      <w:r w:rsidRPr="007277C0">
        <w:rPr>
          <w:rFonts w:cs="Arial"/>
          <w:bCs/>
          <w:sz w:val="20"/>
          <w:szCs w:val="20"/>
        </w:rPr>
        <w:t xml:space="preserve">Eduarda </w:t>
      </w:r>
      <w:r w:rsidR="007277C0">
        <w:rPr>
          <w:rFonts w:cs="Arial"/>
          <w:bCs/>
          <w:sz w:val="20"/>
          <w:szCs w:val="20"/>
        </w:rPr>
        <w:t xml:space="preserve">Pires Valente da Silva </w:t>
      </w:r>
      <w:r w:rsidRPr="007277C0">
        <w:rPr>
          <w:rFonts w:cs="Arial"/>
          <w:bCs/>
          <w:sz w:val="20"/>
          <w:szCs w:val="20"/>
        </w:rPr>
        <w:t>Marques da Costa</w:t>
      </w:r>
      <w:r w:rsidR="00FE4039">
        <w:rPr>
          <w:rFonts w:cs="Arial"/>
          <w:bCs/>
          <w:sz w:val="20"/>
          <w:szCs w:val="20"/>
        </w:rPr>
        <w:t xml:space="preserve"> </w:t>
      </w:r>
      <w:r w:rsidR="00B80585">
        <w:rPr>
          <w:rStyle w:val="Refdenotaderodap"/>
          <w:rFonts w:cs="Arial"/>
          <w:bCs/>
          <w:sz w:val="20"/>
          <w:szCs w:val="20"/>
        </w:rPr>
        <w:footnoteReference w:id="1"/>
      </w:r>
      <w:r w:rsidRPr="007277C0">
        <w:rPr>
          <w:rFonts w:cs="Arial"/>
          <w:bCs/>
          <w:sz w:val="20"/>
          <w:szCs w:val="20"/>
        </w:rPr>
        <w:t xml:space="preserve"> </w:t>
      </w:r>
    </w:p>
    <w:p w14:paraId="402D4C93" w14:textId="2775AF9A" w:rsidR="00D60F01" w:rsidRDefault="00D435F4" w:rsidP="00924311">
      <w:pPr>
        <w:autoSpaceDE w:val="0"/>
        <w:autoSpaceDN w:val="0"/>
        <w:adjustRightInd w:val="0"/>
        <w:spacing w:after="0" w:line="240" w:lineRule="auto"/>
        <w:jc w:val="right"/>
        <w:rPr>
          <w:rFonts w:cs="Arial"/>
          <w:bCs/>
          <w:sz w:val="20"/>
          <w:szCs w:val="20"/>
        </w:rPr>
      </w:pPr>
      <w:r w:rsidRPr="007277C0">
        <w:rPr>
          <w:rFonts w:cs="Arial"/>
          <w:bCs/>
          <w:sz w:val="20"/>
          <w:szCs w:val="20"/>
        </w:rPr>
        <w:t xml:space="preserve">Ana </w:t>
      </w:r>
      <w:r w:rsidR="007277C0">
        <w:rPr>
          <w:rFonts w:cs="Arial"/>
          <w:bCs/>
          <w:sz w:val="20"/>
          <w:szCs w:val="20"/>
        </w:rPr>
        <w:t xml:space="preserve">Isabel Matias </w:t>
      </w:r>
      <w:r w:rsidRPr="007277C0">
        <w:rPr>
          <w:rFonts w:cs="Arial"/>
          <w:bCs/>
          <w:sz w:val="20"/>
          <w:szCs w:val="20"/>
        </w:rPr>
        <w:t>Louro</w:t>
      </w:r>
      <w:r w:rsidR="007277C0" w:rsidRPr="007277C0">
        <w:rPr>
          <w:rFonts w:cs="Arial"/>
          <w:bCs/>
          <w:sz w:val="20"/>
          <w:szCs w:val="20"/>
        </w:rPr>
        <w:t xml:space="preserve"> </w:t>
      </w:r>
      <w:r w:rsidR="007277C0">
        <w:rPr>
          <w:rFonts w:cs="Arial"/>
          <w:bCs/>
          <w:sz w:val="20"/>
          <w:szCs w:val="20"/>
        </w:rPr>
        <w:t>Martins</w:t>
      </w:r>
      <w:r w:rsidR="00FE4039">
        <w:rPr>
          <w:rFonts w:cs="Arial"/>
          <w:bCs/>
          <w:sz w:val="20"/>
          <w:szCs w:val="20"/>
        </w:rPr>
        <w:t xml:space="preserve"> </w:t>
      </w:r>
      <w:r w:rsidR="00B80585">
        <w:rPr>
          <w:rStyle w:val="Refdenotaderodap"/>
          <w:rFonts w:cs="Arial"/>
          <w:bCs/>
          <w:sz w:val="20"/>
          <w:szCs w:val="20"/>
        </w:rPr>
        <w:footnoteReference w:id="2"/>
      </w:r>
    </w:p>
    <w:p w14:paraId="24DF693D" w14:textId="377C11BC" w:rsidR="00D435F4" w:rsidRDefault="00D435F4" w:rsidP="00924311">
      <w:pPr>
        <w:autoSpaceDE w:val="0"/>
        <w:autoSpaceDN w:val="0"/>
        <w:adjustRightInd w:val="0"/>
        <w:spacing w:after="0" w:line="240" w:lineRule="auto"/>
        <w:jc w:val="right"/>
        <w:rPr>
          <w:rFonts w:cs="Arial"/>
          <w:bCs/>
          <w:sz w:val="20"/>
          <w:szCs w:val="20"/>
        </w:rPr>
      </w:pPr>
      <w:r w:rsidRPr="007277C0">
        <w:rPr>
          <w:rFonts w:cs="Arial"/>
          <w:bCs/>
          <w:sz w:val="20"/>
          <w:szCs w:val="20"/>
        </w:rPr>
        <w:t xml:space="preserve">Marcela </w:t>
      </w:r>
      <w:r w:rsidR="007277C0">
        <w:rPr>
          <w:rFonts w:cs="Arial"/>
          <w:bCs/>
          <w:sz w:val="20"/>
          <w:szCs w:val="20"/>
        </w:rPr>
        <w:t xml:space="preserve">Sofia Santos </w:t>
      </w:r>
      <w:r w:rsidRPr="007277C0">
        <w:rPr>
          <w:rFonts w:cs="Arial"/>
          <w:bCs/>
          <w:sz w:val="20"/>
          <w:szCs w:val="20"/>
        </w:rPr>
        <w:t>Barata</w:t>
      </w:r>
      <w:r w:rsidR="00FE4039">
        <w:rPr>
          <w:rFonts w:cs="Arial"/>
          <w:bCs/>
          <w:sz w:val="20"/>
          <w:szCs w:val="20"/>
        </w:rPr>
        <w:t xml:space="preserve"> </w:t>
      </w:r>
      <w:r w:rsidR="00B80585">
        <w:rPr>
          <w:rStyle w:val="Refdenotaderodap"/>
          <w:rFonts w:cs="Arial"/>
          <w:bCs/>
          <w:sz w:val="20"/>
          <w:szCs w:val="20"/>
        </w:rPr>
        <w:footnoteReference w:id="3"/>
      </w:r>
      <w:r w:rsidR="00B80585">
        <w:rPr>
          <w:rFonts w:cs="Arial"/>
          <w:bCs/>
          <w:sz w:val="20"/>
          <w:szCs w:val="20"/>
        </w:rPr>
        <w:t xml:space="preserve"> </w:t>
      </w:r>
    </w:p>
    <w:p w14:paraId="29D507BA" w14:textId="77777777" w:rsidR="007277C0" w:rsidRDefault="007277C0" w:rsidP="00A76199">
      <w:pPr>
        <w:autoSpaceDE w:val="0"/>
        <w:autoSpaceDN w:val="0"/>
        <w:adjustRightInd w:val="0"/>
        <w:spacing w:after="0" w:line="240" w:lineRule="auto"/>
        <w:rPr>
          <w:rFonts w:cs="Arial"/>
          <w:bCs/>
          <w:sz w:val="20"/>
          <w:szCs w:val="20"/>
        </w:rPr>
      </w:pPr>
    </w:p>
    <w:p w14:paraId="6C9637BE" w14:textId="2FD6A29B" w:rsidR="00D60F01" w:rsidRDefault="00D60F01" w:rsidP="00A76199">
      <w:pPr>
        <w:autoSpaceDE w:val="0"/>
        <w:autoSpaceDN w:val="0"/>
        <w:adjustRightInd w:val="0"/>
        <w:spacing w:after="0" w:line="240" w:lineRule="auto"/>
        <w:rPr>
          <w:rFonts w:cs="Arial"/>
          <w:bCs/>
        </w:rPr>
      </w:pPr>
      <w:r w:rsidRPr="00D60F01">
        <w:rPr>
          <w:rFonts w:cs="Arial"/>
          <w:bCs/>
        </w:rPr>
        <w:t>Resumo:</w:t>
      </w:r>
    </w:p>
    <w:p w14:paraId="5828DD10" w14:textId="77777777" w:rsidR="00A76199" w:rsidRDefault="00A76199" w:rsidP="00A76199">
      <w:pPr>
        <w:autoSpaceDE w:val="0"/>
        <w:autoSpaceDN w:val="0"/>
        <w:adjustRightInd w:val="0"/>
        <w:spacing w:after="0" w:line="240" w:lineRule="auto"/>
        <w:rPr>
          <w:rFonts w:cs="Arial"/>
          <w:bCs/>
        </w:rPr>
      </w:pPr>
    </w:p>
    <w:p w14:paraId="2F68C6CA" w14:textId="45C493CC" w:rsidR="00A45A42" w:rsidRPr="00A45A42" w:rsidRDefault="00030888" w:rsidP="00A76199">
      <w:pPr>
        <w:autoSpaceDE w:val="0"/>
        <w:autoSpaceDN w:val="0"/>
        <w:adjustRightInd w:val="0"/>
        <w:spacing w:after="0" w:line="240" w:lineRule="auto"/>
        <w:rPr>
          <w:rFonts w:cs="Arial"/>
        </w:rPr>
      </w:pPr>
      <w:r>
        <w:rPr>
          <w:rFonts w:cs="Arial"/>
          <w:bCs/>
        </w:rPr>
        <w:t>O acesso aos serviço</w:t>
      </w:r>
      <w:r w:rsidR="00FB28E4">
        <w:rPr>
          <w:rFonts w:cs="Arial"/>
          <w:bCs/>
        </w:rPr>
        <w:t xml:space="preserve">s de saúde é um fator complexo, </w:t>
      </w:r>
      <w:r w:rsidR="00710180">
        <w:rPr>
          <w:rFonts w:cs="Arial"/>
          <w:bCs/>
        </w:rPr>
        <w:t>que assume particular relevância para a população envelhecida. Entre os vários fatores que condicionam o acesso, conta-se a</w:t>
      </w:r>
      <w:r w:rsidR="005F71F8">
        <w:rPr>
          <w:rFonts w:cs="Arial"/>
          <w:bCs/>
        </w:rPr>
        <w:t xml:space="preserve"> disponibilidade e</w:t>
      </w:r>
      <w:r>
        <w:rPr>
          <w:rFonts w:cs="Arial"/>
          <w:bCs/>
        </w:rPr>
        <w:t xml:space="preserve"> </w:t>
      </w:r>
      <w:r w:rsidR="00710180">
        <w:rPr>
          <w:rFonts w:cs="Arial"/>
          <w:bCs/>
        </w:rPr>
        <w:t xml:space="preserve">a </w:t>
      </w:r>
      <w:r>
        <w:rPr>
          <w:rFonts w:cs="Arial"/>
          <w:bCs/>
        </w:rPr>
        <w:t>acessibilidade</w:t>
      </w:r>
      <w:r w:rsidR="00710180">
        <w:rPr>
          <w:rFonts w:cs="Arial"/>
          <w:bCs/>
        </w:rPr>
        <w:t>, o que reflete a perspetiva da oferta destes serviços e a forma como se distribuem no território</w:t>
      </w:r>
      <w:r w:rsidR="0051032E">
        <w:rPr>
          <w:rFonts w:cs="Arial"/>
          <w:bCs/>
        </w:rPr>
        <w:t>.</w:t>
      </w:r>
      <w:r w:rsidR="0007665C">
        <w:rPr>
          <w:rFonts w:cs="Arial"/>
          <w:bCs/>
        </w:rPr>
        <w:t xml:space="preserve"> </w:t>
      </w:r>
      <w:r w:rsidR="00710180">
        <w:rPr>
          <w:rFonts w:cs="Arial"/>
          <w:bCs/>
        </w:rPr>
        <w:t xml:space="preserve">O contexto de envelhecimento que caracteriza as sociedades, coloca </w:t>
      </w:r>
      <w:r w:rsidR="001E5AAB">
        <w:rPr>
          <w:rFonts w:cs="Arial"/>
          <w:bCs/>
        </w:rPr>
        <w:t xml:space="preserve">assim </w:t>
      </w:r>
      <w:r w:rsidR="00710180">
        <w:rPr>
          <w:rFonts w:cs="Arial"/>
          <w:bCs/>
        </w:rPr>
        <w:t>um desafio adicional à oferta d</w:t>
      </w:r>
      <w:r w:rsidR="001E5AAB">
        <w:rPr>
          <w:rFonts w:cs="Arial"/>
          <w:bCs/>
        </w:rPr>
        <w:t>este</w:t>
      </w:r>
      <w:r w:rsidR="00710180">
        <w:rPr>
          <w:rFonts w:cs="Arial"/>
          <w:bCs/>
        </w:rPr>
        <w:t xml:space="preserve">s serviços. </w:t>
      </w:r>
      <w:r w:rsidR="0099420F">
        <w:rPr>
          <w:rFonts w:cs="Arial"/>
          <w:bCs/>
        </w:rPr>
        <w:t>O presente estudo</w:t>
      </w:r>
      <w:r w:rsidR="0088311A">
        <w:rPr>
          <w:rFonts w:cs="Arial"/>
          <w:bCs/>
        </w:rPr>
        <w:t xml:space="preserve">, centra-se na Área Metropolitana de Lisboa </w:t>
      </w:r>
      <w:r w:rsidR="001E5AAB">
        <w:rPr>
          <w:rFonts w:cs="Arial"/>
          <w:bCs/>
        </w:rPr>
        <w:t xml:space="preserve">(AML) </w:t>
      </w:r>
      <w:r w:rsidR="0088311A">
        <w:rPr>
          <w:rFonts w:cs="Arial"/>
          <w:bCs/>
        </w:rPr>
        <w:t>e</w:t>
      </w:r>
      <w:r w:rsidR="0099420F">
        <w:rPr>
          <w:rFonts w:cs="Arial"/>
          <w:bCs/>
        </w:rPr>
        <w:t xml:space="preserve"> tem como objetivo caracterizar </w:t>
      </w:r>
      <w:r w:rsidR="001E5AAB">
        <w:rPr>
          <w:rFonts w:cs="Arial"/>
          <w:bCs/>
        </w:rPr>
        <w:t>o acesso</w:t>
      </w:r>
      <w:r w:rsidR="0088311A">
        <w:rPr>
          <w:rFonts w:cs="Arial"/>
          <w:bCs/>
        </w:rPr>
        <w:t xml:space="preserve"> </w:t>
      </w:r>
      <w:r w:rsidR="0099420F">
        <w:rPr>
          <w:rFonts w:cs="Arial"/>
          <w:bCs/>
        </w:rPr>
        <w:t>da população idosa aos cuidados de saúde primários</w:t>
      </w:r>
      <w:r w:rsidR="00E56799">
        <w:rPr>
          <w:rFonts w:cs="Arial"/>
          <w:bCs/>
        </w:rPr>
        <w:t xml:space="preserve"> </w:t>
      </w:r>
      <w:r w:rsidR="0007665C">
        <w:rPr>
          <w:rFonts w:cs="Arial"/>
          <w:bCs/>
        </w:rPr>
        <w:t>(CSP</w:t>
      </w:r>
      <w:r w:rsidR="00E56799">
        <w:rPr>
          <w:rFonts w:cs="Arial"/>
          <w:bCs/>
        </w:rPr>
        <w:t>)</w:t>
      </w:r>
      <w:r w:rsidR="0088311A">
        <w:rPr>
          <w:rFonts w:cs="Arial"/>
          <w:bCs/>
        </w:rPr>
        <w:t xml:space="preserve">, </w:t>
      </w:r>
      <w:r w:rsidR="00B86F37">
        <w:rPr>
          <w:rFonts w:cs="Arial"/>
          <w:bCs/>
        </w:rPr>
        <w:t>confronta</w:t>
      </w:r>
      <w:r w:rsidR="0088311A">
        <w:rPr>
          <w:rFonts w:cs="Arial"/>
          <w:bCs/>
        </w:rPr>
        <w:t>ndo</w:t>
      </w:r>
      <w:r w:rsidR="0099420F">
        <w:rPr>
          <w:rFonts w:cs="Arial"/>
          <w:bCs/>
        </w:rPr>
        <w:t xml:space="preserve"> </w:t>
      </w:r>
      <w:r w:rsidR="00FB28E4">
        <w:rPr>
          <w:rFonts w:cs="Arial"/>
          <w:bCs/>
        </w:rPr>
        <w:t>a</w:t>
      </w:r>
      <w:r w:rsidR="0007665C">
        <w:rPr>
          <w:rFonts w:cs="Arial"/>
          <w:bCs/>
        </w:rPr>
        <w:t xml:space="preserve"> </w:t>
      </w:r>
      <w:r w:rsidR="001E5AAB">
        <w:rPr>
          <w:rFonts w:cs="Arial"/>
          <w:bCs/>
        </w:rPr>
        <w:t xml:space="preserve">acessibilidade à </w:t>
      </w:r>
      <w:r w:rsidR="0099420F">
        <w:rPr>
          <w:rFonts w:cs="Arial"/>
          <w:bCs/>
        </w:rPr>
        <w:t>ofert</w:t>
      </w:r>
      <w:r w:rsidR="00E56799">
        <w:rPr>
          <w:rFonts w:cs="Arial"/>
          <w:bCs/>
        </w:rPr>
        <w:t xml:space="preserve">a </w:t>
      </w:r>
      <w:r w:rsidR="0088311A">
        <w:rPr>
          <w:rFonts w:cs="Arial"/>
          <w:bCs/>
        </w:rPr>
        <w:t>d</w:t>
      </w:r>
      <w:r w:rsidR="0099420F">
        <w:rPr>
          <w:rFonts w:cs="Arial"/>
          <w:bCs/>
        </w:rPr>
        <w:t>estes equipamentos de saúde com os padrões de procura da população idosa</w:t>
      </w:r>
      <w:r w:rsidR="0051032E">
        <w:rPr>
          <w:rFonts w:cs="Arial"/>
        </w:rPr>
        <w:t xml:space="preserve">. A metodologia </w:t>
      </w:r>
      <w:r w:rsidR="00E56799">
        <w:rPr>
          <w:rFonts w:cs="Arial"/>
        </w:rPr>
        <w:t xml:space="preserve">deste trabalho </w:t>
      </w:r>
      <w:r w:rsidR="001E5AAB">
        <w:rPr>
          <w:rFonts w:cs="Arial"/>
        </w:rPr>
        <w:t>assenta</w:t>
      </w:r>
      <w:r w:rsidR="00B86F37">
        <w:rPr>
          <w:rFonts w:cs="Arial"/>
        </w:rPr>
        <w:t xml:space="preserve">: </w:t>
      </w:r>
      <w:r w:rsidR="001E5AAB">
        <w:rPr>
          <w:rFonts w:cs="Arial"/>
        </w:rPr>
        <w:t>do lado da oferta, n</w:t>
      </w:r>
      <w:r w:rsidR="00E56799">
        <w:rPr>
          <w:rFonts w:cs="Arial"/>
        </w:rPr>
        <w:t>o</w:t>
      </w:r>
      <w:r w:rsidR="00FB28E4">
        <w:rPr>
          <w:rFonts w:cs="Arial"/>
        </w:rPr>
        <w:t xml:space="preserve"> cálculo de distâ</w:t>
      </w:r>
      <w:r w:rsidR="00E56799">
        <w:rPr>
          <w:rFonts w:cs="Arial"/>
        </w:rPr>
        <w:t xml:space="preserve">ncias físicas e </w:t>
      </w:r>
      <w:r w:rsidR="00F12FEC">
        <w:rPr>
          <w:rFonts w:cs="Arial"/>
        </w:rPr>
        <w:t xml:space="preserve">o </w:t>
      </w:r>
      <w:r w:rsidR="00E56799">
        <w:rPr>
          <w:rFonts w:cs="Arial"/>
        </w:rPr>
        <w:t>tempo</w:t>
      </w:r>
      <w:r w:rsidR="0007665C">
        <w:rPr>
          <w:rFonts w:cs="Arial"/>
        </w:rPr>
        <w:t xml:space="preserve"> </w:t>
      </w:r>
      <w:r w:rsidR="00E56799">
        <w:rPr>
          <w:rFonts w:cs="Arial"/>
        </w:rPr>
        <w:t>percorrido</w:t>
      </w:r>
      <w:r w:rsidR="00B86F37">
        <w:rPr>
          <w:rFonts w:cs="Arial"/>
        </w:rPr>
        <w:t xml:space="preserve"> até a um CSP</w:t>
      </w:r>
      <w:r w:rsidR="00E56799">
        <w:rPr>
          <w:rFonts w:cs="Arial"/>
        </w:rPr>
        <w:t>,</w:t>
      </w:r>
      <w:r w:rsidR="0051032E">
        <w:rPr>
          <w:rFonts w:cs="Arial"/>
        </w:rPr>
        <w:t xml:space="preserve"> </w:t>
      </w:r>
      <w:r w:rsidR="0088311A">
        <w:rPr>
          <w:rFonts w:cs="Arial"/>
        </w:rPr>
        <w:t xml:space="preserve">chegando aos </w:t>
      </w:r>
      <w:r w:rsidR="00E56799">
        <w:rPr>
          <w:rFonts w:cs="Arial"/>
        </w:rPr>
        <w:t>potencia</w:t>
      </w:r>
      <w:r w:rsidR="0088311A">
        <w:rPr>
          <w:rFonts w:cs="Arial"/>
        </w:rPr>
        <w:t>is de oferta</w:t>
      </w:r>
      <w:r w:rsidR="001E5AAB">
        <w:rPr>
          <w:rFonts w:cs="Arial"/>
        </w:rPr>
        <w:t>; do lado da procura, a pers</w:t>
      </w:r>
      <w:r w:rsidR="00DA098F">
        <w:rPr>
          <w:rFonts w:cs="Arial"/>
        </w:rPr>
        <w:t>petiva</w:t>
      </w:r>
      <w:r w:rsidR="0007665C">
        <w:rPr>
          <w:rFonts w:cs="Arial"/>
        </w:rPr>
        <w:t xml:space="preserve"> </w:t>
      </w:r>
      <w:r w:rsidR="001E5AAB">
        <w:rPr>
          <w:rFonts w:cs="Arial"/>
        </w:rPr>
        <w:t>é</w:t>
      </w:r>
      <w:r w:rsidR="00F12FEC">
        <w:rPr>
          <w:rFonts w:cs="Arial"/>
        </w:rPr>
        <w:t xml:space="preserve"> </w:t>
      </w:r>
      <w:r w:rsidR="0007665C">
        <w:rPr>
          <w:rFonts w:cs="Arial"/>
        </w:rPr>
        <w:t xml:space="preserve">determinada através de inquéritos realizados aos residentes. </w:t>
      </w:r>
      <w:r w:rsidR="00DA098F">
        <w:rPr>
          <w:rFonts w:cs="Arial"/>
        </w:rPr>
        <w:t xml:space="preserve">Para além da acessibilidade diferenciada, as diferenças acentuam-se </w:t>
      </w:r>
      <w:r w:rsidR="003D6996">
        <w:rPr>
          <w:rFonts w:cs="Arial"/>
        </w:rPr>
        <w:t>quando analisamos o</w:t>
      </w:r>
      <w:r w:rsidR="00DA098F">
        <w:rPr>
          <w:rFonts w:cs="Arial"/>
        </w:rPr>
        <w:t xml:space="preserve"> perfil de serviços prestado</w:t>
      </w:r>
      <w:r w:rsidR="001E5AAB">
        <w:rPr>
          <w:rFonts w:cs="Arial"/>
        </w:rPr>
        <w:t>s,</w:t>
      </w:r>
      <w:r w:rsidR="00DA098F">
        <w:rPr>
          <w:rFonts w:cs="Arial"/>
        </w:rPr>
        <w:t xml:space="preserve"> o que </w:t>
      </w:r>
      <w:r w:rsidR="00DB1638">
        <w:rPr>
          <w:rFonts w:cs="Arial"/>
        </w:rPr>
        <w:t>reforça</w:t>
      </w:r>
      <w:r w:rsidR="00DA098F">
        <w:rPr>
          <w:rFonts w:cs="Arial"/>
        </w:rPr>
        <w:t xml:space="preserve"> as </w:t>
      </w:r>
      <w:r w:rsidR="003D6996">
        <w:rPr>
          <w:rFonts w:cs="Arial"/>
        </w:rPr>
        <w:t>desigualdades relacionadas</w:t>
      </w:r>
      <w:r w:rsidR="00A45A42">
        <w:rPr>
          <w:rFonts w:cs="Arial"/>
        </w:rPr>
        <w:t xml:space="preserve"> com as características </w:t>
      </w:r>
      <w:r w:rsidR="00F841DF">
        <w:rPr>
          <w:rFonts w:cs="Arial"/>
        </w:rPr>
        <w:t>socioecon</w:t>
      </w:r>
      <w:r w:rsidR="00A97BC3">
        <w:rPr>
          <w:rFonts w:cs="Arial"/>
        </w:rPr>
        <w:t>ô</w:t>
      </w:r>
      <w:r w:rsidR="00F841DF">
        <w:rPr>
          <w:rFonts w:cs="Arial"/>
        </w:rPr>
        <w:t>micas</w:t>
      </w:r>
      <w:r w:rsidR="00A45A42">
        <w:rPr>
          <w:rFonts w:cs="Arial"/>
        </w:rPr>
        <w:t xml:space="preserve"> da população idosa</w:t>
      </w:r>
      <w:r w:rsidR="001E5AAB">
        <w:rPr>
          <w:rFonts w:cs="Arial"/>
        </w:rPr>
        <w:t xml:space="preserve"> e </w:t>
      </w:r>
      <w:r w:rsidR="00B86F37">
        <w:rPr>
          <w:rFonts w:cs="Arial"/>
        </w:rPr>
        <w:t>com o</w:t>
      </w:r>
      <w:r w:rsidR="00F841DF">
        <w:rPr>
          <w:rFonts w:cs="Arial"/>
        </w:rPr>
        <w:t xml:space="preserve"> modelo de urbanização </w:t>
      </w:r>
      <w:r w:rsidR="001E5AAB">
        <w:rPr>
          <w:rFonts w:cs="Arial"/>
        </w:rPr>
        <w:t>da</w:t>
      </w:r>
      <w:r w:rsidR="00F841DF">
        <w:rPr>
          <w:rFonts w:cs="Arial"/>
        </w:rPr>
        <w:t xml:space="preserve"> AML.</w:t>
      </w:r>
    </w:p>
    <w:p w14:paraId="6440A3F3" w14:textId="77777777" w:rsidR="0099420F" w:rsidRPr="00D60F01" w:rsidRDefault="0099420F" w:rsidP="00A76199">
      <w:pPr>
        <w:autoSpaceDE w:val="0"/>
        <w:autoSpaceDN w:val="0"/>
        <w:adjustRightInd w:val="0"/>
        <w:spacing w:after="0" w:line="240" w:lineRule="auto"/>
        <w:rPr>
          <w:rFonts w:cs="Arial"/>
          <w:bCs/>
        </w:rPr>
      </w:pPr>
    </w:p>
    <w:p w14:paraId="5A92E3A2" w14:textId="40386869" w:rsidR="00090987" w:rsidRDefault="007277C0" w:rsidP="00A76199">
      <w:pPr>
        <w:autoSpaceDE w:val="0"/>
        <w:autoSpaceDN w:val="0"/>
        <w:adjustRightInd w:val="0"/>
        <w:spacing w:after="0" w:line="240" w:lineRule="auto"/>
        <w:rPr>
          <w:rFonts w:cs="Arial"/>
        </w:rPr>
      </w:pPr>
      <w:r>
        <w:rPr>
          <w:rFonts w:cs="Arial"/>
        </w:rPr>
        <w:t xml:space="preserve">Palavras chave: </w:t>
      </w:r>
      <w:r w:rsidR="004602EB" w:rsidRPr="00D435F4">
        <w:rPr>
          <w:rFonts w:cs="Arial"/>
        </w:rPr>
        <w:t>Acessibilidade, Cuidados de Saúde Primários, População Idosa, Área Metropolitana de Lisboa.</w:t>
      </w:r>
    </w:p>
    <w:p w14:paraId="4F0A6866" w14:textId="53CB3B2B" w:rsidR="00F3226A" w:rsidRDefault="00F3226A" w:rsidP="00A76199">
      <w:pPr>
        <w:autoSpaceDE w:val="0"/>
        <w:autoSpaceDN w:val="0"/>
        <w:adjustRightInd w:val="0"/>
        <w:spacing w:after="0" w:line="240" w:lineRule="auto"/>
        <w:rPr>
          <w:rFonts w:cs="Arial"/>
        </w:rPr>
      </w:pPr>
    </w:p>
    <w:p w14:paraId="181A3830" w14:textId="641F71B6" w:rsidR="00FF6A10" w:rsidRDefault="00566024" w:rsidP="00A76199">
      <w:pPr>
        <w:spacing w:after="0"/>
        <w:rPr>
          <w:lang w:val="en-GB"/>
        </w:rPr>
      </w:pPr>
      <w:r w:rsidRPr="0079506C">
        <w:rPr>
          <w:lang w:val="en-GB"/>
        </w:rPr>
        <w:t>A</w:t>
      </w:r>
      <w:r w:rsidR="000568D9" w:rsidRPr="0079506C">
        <w:rPr>
          <w:lang w:val="en-GB"/>
        </w:rPr>
        <w:t xml:space="preserve">bstract: </w:t>
      </w:r>
    </w:p>
    <w:p w14:paraId="255A4263" w14:textId="77777777" w:rsidR="00A76199" w:rsidRPr="0079506C" w:rsidRDefault="00A76199" w:rsidP="00A76199">
      <w:pPr>
        <w:spacing w:after="0"/>
        <w:rPr>
          <w:lang w:val="en-GB"/>
        </w:rPr>
      </w:pPr>
    </w:p>
    <w:p w14:paraId="786DF209" w14:textId="4B6EE5FA" w:rsidR="00DB1638" w:rsidRDefault="00DB1638" w:rsidP="00A76199">
      <w:pPr>
        <w:spacing w:after="0"/>
        <w:rPr>
          <w:lang w:val="en-GB"/>
        </w:rPr>
      </w:pPr>
      <w:r w:rsidRPr="00DB1638">
        <w:rPr>
          <w:lang w:val="en-GB"/>
        </w:rPr>
        <w:t xml:space="preserve">Access to health services is a complex factor, which assumes particular relevance for the </w:t>
      </w:r>
      <w:r>
        <w:rPr>
          <w:lang w:val="en-GB"/>
        </w:rPr>
        <w:t>elderly</w:t>
      </w:r>
      <w:r w:rsidRPr="00DB1638">
        <w:rPr>
          <w:lang w:val="en-GB"/>
        </w:rPr>
        <w:t xml:space="preserve"> population, since it constitutes a fundamental element of equity and social cohesion. Among the various factors that condition access are availability and accessibility, which reflects the perspective of the supply of these services and how they are distributed in the territory. The context of ageing that characterises societies poses an additional challenge to the supply of services. This study focuses on the Lisbon Metropolitan Area and aims to characterize the accessibility of the elderly population to primary health care (PHC), comparing the supply of these health facilities with the demand patterns of the elderly population. The methodology of </w:t>
      </w:r>
      <w:r w:rsidRPr="00DB1638">
        <w:rPr>
          <w:lang w:val="en-GB"/>
        </w:rPr>
        <w:lastRenderedPageBreak/>
        <w:t>this work is divided into two phases: the calculation of physical distances and the time travelled to a P</w:t>
      </w:r>
      <w:r>
        <w:rPr>
          <w:lang w:val="en-GB"/>
        </w:rPr>
        <w:t>H</w:t>
      </w:r>
      <w:r w:rsidRPr="00DB1638">
        <w:rPr>
          <w:lang w:val="en-GB"/>
        </w:rPr>
        <w:t xml:space="preserve">C, </w:t>
      </w:r>
      <w:r>
        <w:rPr>
          <w:lang w:val="en-GB"/>
        </w:rPr>
        <w:t>obtaining</w:t>
      </w:r>
      <w:r w:rsidRPr="00DB1638">
        <w:rPr>
          <w:lang w:val="en-GB"/>
        </w:rPr>
        <w:t xml:space="preserve"> the potential supply taking into account the distance. These values are confronted with the demand for these same facilities, a perspective that was determined through surveys carried out among residents. Besides the differentiated accessibility, the differences are accentuated when we analyse the profile of services provided, which </w:t>
      </w:r>
      <w:r>
        <w:rPr>
          <w:lang w:val="en-GB"/>
        </w:rPr>
        <w:t>reinforces</w:t>
      </w:r>
      <w:r w:rsidRPr="00DB1638">
        <w:rPr>
          <w:lang w:val="en-GB"/>
        </w:rPr>
        <w:t xml:space="preserve"> the inequalities related to the socio-economic characteristics of the elderly population.</w:t>
      </w:r>
    </w:p>
    <w:p w14:paraId="78798DF2" w14:textId="77777777" w:rsidR="00A76199" w:rsidRPr="00DB1638" w:rsidRDefault="00A76199" w:rsidP="00A76199">
      <w:pPr>
        <w:spacing w:after="0"/>
        <w:rPr>
          <w:lang w:val="en-GB"/>
        </w:rPr>
      </w:pPr>
    </w:p>
    <w:p w14:paraId="7C976120" w14:textId="4736B241" w:rsidR="000568D9" w:rsidRDefault="000568D9" w:rsidP="00A76199">
      <w:pPr>
        <w:spacing w:after="0"/>
        <w:rPr>
          <w:lang w:val="en-GB"/>
        </w:rPr>
      </w:pPr>
      <w:r>
        <w:rPr>
          <w:lang w:val="en-GB"/>
        </w:rPr>
        <w:t>Keywords:</w:t>
      </w:r>
      <w:r w:rsidR="00E1687E">
        <w:rPr>
          <w:lang w:val="en-GB"/>
        </w:rPr>
        <w:t xml:space="preserve"> </w:t>
      </w:r>
      <w:r w:rsidRPr="000568D9">
        <w:rPr>
          <w:lang w:val="en-GB"/>
        </w:rPr>
        <w:t xml:space="preserve">Accessibility; Primary Healthcare; </w:t>
      </w:r>
      <w:r w:rsidR="00DB1638">
        <w:rPr>
          <w:lang w:val="en-GB"/>
        </w:rPr>
        <w:t>Elderly</w:t>
      </w:r>
      <w:r w:rsidR="00DB1638" w:rsidRPr="000568D9">
        <w:rPr>
          <w:lang w:val="en-GB"/>
        </w:rPr>
        <w:t xml:space="preserve"> </w:t>
      </w:r>
      <w:r w:rsidRPr="000568D9">
        <w:rPr>
          <w:lang w:val="en-GB"/>
        </w:rPr>
        <w:t>Population; Lisbon Metropolitan Area.</w:t>
      </w:r>
    </w:p>
    <w:p w14:paraId="186140BE" w14:textId="65FD8200" w:rsidR="00DD7A23" w:rsidRDefault="00DD7A23" w:rsidP="00A76199">
      <w:pPr>
        <w:spacing w:after="0"/>
        <w:rPr>
          <w:lang w:val="en-GB"/>
        </w:rPr>
      </w:pPr>
    </w:p>
    <w:p w14:paraId="4971370E" w14:textId="1759F3FF" w:rsidR="00DD7A23" w:rsidRDefault="00DD7A23" w:rsidP="00A76199">
      <w:pPr>
        <w:spacing w:after="0"/>
        <w:rPr>
          <w:lang w:val="en-GB"/>
        </w:rPr>
      </w:pPr>
    </w:p>
    <w:p w14:paraId="70F2444B" w14:textId="77777777" w:rsidR="00DD7A23" w:rsidRPr="000568D9" w:rsidRDefault="00DD7A23" w:rsidP="00A76199">
      <w:pPr>
        <w:spacing w:after="0"/>
        <w:rPr>
          <w:lang w:val="en-GB"/>
        </w:rPr>
      </w:pPr>
    </w:p>
    <w:p w14:paraId="0E7E8026" w14:textId="37867223" w:rsidR="00AC772A" w:rsidRDefault="009706E0" w:rsidP="009706E0">
      <w:pPr>
        <w:spacing w:after="0"/>
      </w:pPr>
      <w:r>
        <w:t>INTRODUÇÃO</w:t>
      </w:r>
    </w:p>
    <w:p w14:paraId="69511797" w14:textId="77777777" w:rsidR="00755860" w:rsidRDefault="00755860" w:rsidP="002C3A93">
      <w:pPr>
        <w:spacing w:after="0"/>
      </w:pPr>
    </w:p>
    <w:p w14:paraId="7C36DE78" w14:textId="3865EF11" w:rsidR="00F0742E" w:rsidRDefault="003B092F" w:rsidP="002C3A93">
      <w:pPr>
        <w:spacing w:after="0"/>
        <w:ind w:firstLine="360"/>
      </w:pPr>
      <w:r w:rsidRPr="000568D9">
        <w:t>Ao longo do século XXI tem</w:t>
      </w:r>
      <w:r w:rsidR="009E37CC">
        <w:t>os assistido a uma aceleração no processo de</w:t>
      </w:r>
      <w:r w:rsidRPr="000568D9">
        <w:t xml:space="preserve"> envelhecimento das populações, nomeadamente </w:t>
      </w:r>
      <w:r w:rsidR="00DB3C7C" w:rsidRPr="000568D9">
        <w:t>n</w:t>
      </w:r>
      <w:r w:rsidRPr="000568D9">
        <w:t xml:space="preserve">os países desenvolvidos, </w:t>
      </w:r>
      <w:r w:rsidR="009E37CC">
        <w:t xml:space="preserve">processo este que decorre não só por um declínio da natalidade, mas também porque se </w:t>
      </w:r>
      <w:r w:rsidRPr="000568D9">
        <w:t>verifica</w:t>
      </w:r>
      <w:r w:rsidR="009E37CC">
        <w:t xml:space="preserve"> um</w:t>
      </w:r>
      <w:r w:rsidRPr="000568D9">
        <w:t xml:space="preserve"> aumento da esperança média de vida</w:t>
      </w:r>
      <w:r w:rsidR="009E37CC">
        <w:t>.</w:t>
      </w:r>
      <w:r w:rsidR="00F12FEC" w:rsidRPr="00F12FEC">
        <w:rPr>
          <w:rFonts w:cstheme="minorHAnsi"/>
        </w:rPr>
        <w:t xml:space="preserve"> </w:t>
      </w:r>
      <w:r w:rsidR="0079506C" w:rsidRPr="000C2AB9">
        <w:t>Com a previsão d</w:t>
      </w:r>
      <w:r w:rsidR="0039311B">
        <w:t>o crescimento</w:t>
      </w:r>
      <w:r w:rsidR="0079506C" w:rsidRPr="000C2AB9">
        <w:t xml:space="preserve"> do número de idosos é necessário um aumento de serviços de suporte, como cuidados domiciliários e cuidados de longa duração (continuados e paliativos)</w:t>
      </w:r>
      <w:r w:rsidR="001B64AA">
        <w:t>, mas também melhorar o acesso aos cuidados primários, promovendo a prevenção</w:t>
      </w:r>
      <w:r w:rsidR="0039311B">
        <w:t xml:space="preserve"> e</w:t>
      </w:r>
      <w:r w:rsidR="00F0742E">
        <w:t xml:space="preserve"> garantindo o direito à saúde. </w:t>
      </w:r>
    </w:p>
    <w:p w14:paraId="01E8F356" w14:textId="30EFBE07" w:rsidR="0079506C" w:rsidRPr="00755860" w:rsidRDefault="00F0742E" w:rsidP="002C3A93">
      <w:pPr>
        <w:spacing w:after="0"/>
        <w:ind w:firstLine="360"/>
        <w:rPr>
          <w:rFonts w:cs="Arial"/>
        </w:rPr>
      </w:pPr>
      <w:r>
        <w:t xml:space="preserve">Neste contexto, a temática do acesso aos serviços de saúde ganha relevância acrescida, </w:t>
      </w:r>
      <w:r>
        <w:rPr>
          <w:rFonts w:cs="Arial"/>
          <w:bCs/>
        </w:rPr>
        <w:t xml:space="preserve">na população envelhecida, pois constitui um elemento fundamental de equidade </w:t>
      </w:r>
      <w:r w:rsidR="0039311B">
        <w:rPr>
          <w:rFonts w:cs="Arial"/>
          <w:bCs/>
        </w:rPr>
        <w:t xml:space="preserve">social </w:t>
      </w:r>
      <w:r>
        <w:rPr>
          <w:rFonts w:cs="Arial"/>
          <w:bCs/>
        </w:rPr>
        <w:t xml:space="preserve">e coesão </w:t>
      </w:r>
      <w:r w:rsidR="0039311B">
        <w:rPr>
          <w:rFonts w:cs="Arial"/>
          <w:bCs/>
        </w:rPr>
        <w:t>territorial</w:t>
      </w:r>
      <w:r w:rsidRPr="00755860">
        <w:rPr>
          <w:rFonts w:cs="Arial"/>
          <w:bCs/>
        </w:rPr>
        <w:t>.</w:t>
      </w:r>
    </w:p>
    <w:p w14:paraId="0F94F932" w14:textId="28392706" w:rsidR="001B64AA" w:rsidRPr="00755860" w:rsidRDefault="00F0742E" w:rsidP="002C3A93">
      <w:pPr>
        <w:spacing w:after="0"/>
        <w:ind w:firstLine="360"/>
        <w:rPr>
          <w:rFonts w:cs="Arial"/>
        </w:rPr>
      </w:pPr>
      <w:r w:rsidRPr="00755860">
        <w:rPr>
          <w:rFonts w:cs="Arial"/>
        </w:rPr>
        <w:t>O</w:t>
      </w:r>
      <w:r w:rsidR="001B64AA" w:rsidRPr="00755860">
        <w:rPr>
          <w:rFonts w:cs="Arial"/>
        </w:rPr>
        <w:t xml:space="preserve"> conceito de acesso</w:t>
      </w:r>
      <w:r w:rsidRPr="00755860">
        <w:rPr>
          <w:rFonts w:cs="Arial"/>
        </w:rPr>
        <w:t xml:space="preserve"> tem sido discutido por vários autores</w:t>
      </w:r>
      <w:r w:rsidR="001B64AA" w:rsidRPr="00755860">
        <w:rPr>
          <w:rFonts w:cs="Arial"/>
        </w:rPr>
        <w:t xml:space="preserve">. Segundo Penchansky e Thomas (1981) </w:t>
      </w:r>
      <w:r w:rsidR="003219E3" w:rsidRPr="00755860">
        <w:rPr>
          <w:rFonts w:cs="Arial"/>
        </w:rPr>
        <w:t>citado</w:t>
      </w:r>
      <w:r w:rsidR="00064EF6" w:rsidRPr="00755860">
        <w:rPr>
          <w:rFonts w:cs="Arial"/>
        </w:rPr>
        <w:t>s</w:t>
      </w:r>
      <w:r w:rsidR="003219E3" w:rsidRPr="00755860">
        <w:rPr>
          <w:rFonts w:cs="Arial"/>
        </w:rPr>
        <w:t xml:space="preserve"> por </w:t>
      </w:r>
      <w:r w:rsidR="003219E3" w:rsidRPr="00755860">
        <w:rPr>
          <w:rFonts w:eastAsia="Times New Roman" w:cs="Arial"/>
        </w:rPr>
        <w:t>Palma, Marques da Costa &amp; Marques da Costa (2017)</w:t>
      </w:r>
      <w:r w:rsidR="00064EF6" w:rsidRPr="00755860">
        <w:rPr>
          <w:rFonts w:eastAsia="Times New Roman" w:cs="Arial"/>
        </w:rPr>
        <w:t>, o</w:t>
      </w:r>
      <w:r w:rsidR="00064EF6" w:rsidRPr="00755860">
        <w:rPr>
          <w:rFonts w:eastAsia="Times New Roman" w:cs="Arial"/>
          <w:sz w:val="24"/>
          <w:szCs w:val="24"/>
        </w:rPr>
        <w:t xml:space="preserve"> acesso</w:t>
      </w:r>
      <w:r w:rsidR="003219E3" w:rsidRPr="00755860">
        <w:rPr>
          <w:rFonts w:eastAsia="Times New Roman" w:cs="Arial"/>
          <w:sz w:val="24"/>
          <w:szCs w:val="24"/>
        </w:rPr>
        <w:t xml:space="preserve"> </w:t>
      </w:r>
      <w:r w:rsidR="001B64AA" w:rsidRPr="00755860">
        <w:rPr>
          <w:rFonts w:cs="Arial"/>
        </w:rPr>
        <w:t xml:space="preserve">é visto como um grau de ajuste entre os prestadores de serviços de saúde e os utilizadores desses mesmos serviços, </w:t>
      </w:r>
      <w:r w:rsidR="0039311B">
        <w:rPr>
          <w:rFonts w:cs="Arial"/>
        </w:rPr>
        <w:t>salientando</w:t>
      </w:r>
      <w:r w:rsidR="001B64AA" w:rsidRPr="00755860">
        <w:rPr>
          <w:rFonts w:cs="Arial"/>
        </w:rPr>
        <w:t xml:space="preserve"> </w:t>
      </w:r>
      <w:r w:rsidR="0039311B">
        <w:rPr>
          <w:rFonts w:cs="Arial"/>
        </w:rPr>
        <w:t xml:space="preserve">a existência de </w:t>
      </w:r>
      <w:r w:rsidR="001B64AA" w:rsidRPr="00755860">
        <w:rPr>
          <w:rFonts w:cs="Arial"/>
        </w:rPr>
        <w:t>uma distinção entre os conceitos de acesso e de acessibilidade</w:t>
      </w:r>
      <w:r w:rsidR="0039311B">
        <w:rPr>
          <w:rFonts w:cs="Arial"/>
        </w:rPr>
        <w:t>. Estes</w:t>
      </w:r>
      <w:r w:rsidR="001B64AA" w:rsidRPr="00755860">
        <w:rPr>
          <w:rFonts w:cs="Arial"/>
        </w:rPr>
        <w:t xml:space="preserve"> autores dividem o acesso em cinco dimensões de análise</w:t>
      </w:r>
      <w:r w:rsidR="0039311B">
        <w:rPr>
          <w:rFonts w:cs="Arial"/>
        </w:rPr>
        <w:t xml:space="preserve"> que passamos a enumerar</w:t>
      </w:r>
      <w:r w:rsidR="001B64AA" w:rsidRPr="00755860">
        <w:rPr>
          <w:rFonts w:cs="Arial"/>
        </w:rPr>
        <w:t xml:space="preserve">. A dimensão “disponibilidade” avalia a presença ou a ausência de determinado serviço no território, como também a sua qualidade. A dimensão “acessibilidade” avalia a facilidade dos utilizadores conseguirem alcançar o serviço a partir de uma determinada localização, analisando, se os serviços </w:t>
      </w:r>
      <w:r w:rsidR="0039311B">
        <w:rPr>
          <w:rFonts w:cs="Arial"/>
        </w:rPr>
        <w:t xml:space="preserve">se encontram junto aos utilizadores, </w:t>
      </w:r>
      <w:r w:rsidR="001B64AA" w:rsidRPr="00755860">
        <w:rPr>
          <w:rFonts w:cs="Arial"/>
        </w:rPr>
        <w:t>se são fáceis de aceder e quanto tempo é dispensado na sua deslocação. A acessibilidade apresenta uma abordagem espacial e quantitativa, através de cálculos de distância-tempo e a avaliação da cobertura populacional segundo diferentes perfis de distância-tempo. A dimensão “custo” avalia o preço praticado para os utilizadores dos serviços e a capacidade dos utilizadores em supor</w:t>
      </w:r>
      <w:r w:rsidR="0039311B">
        <w:rPr>
          <w:rFonts w:cs="Arial"/>
        </w:rPr>
        <w:t>tá-lo</w:t>
      </w:r>
      <w:r w:rsidR="001B64AA" w:rsidRPr="00755860">
        <w:rPr>
          <w:rFonts w:cs="Arial"/>
        </w:rPr>
        <w:t xml:space="preserve">. As duas últimas dimensões, “comodidade” e “aceitação”, apresentam uma abordagem subjetiva mais complexa, devido à necessidade de analisar a expectativa dos utilizadores perante a prestação dos serviços. Mesmo que a medição do acesso passe pelas cinco análises, por vezes a disponibilidade de dados afeta a precisão da </w:t>
      </w:r>
      <w:r w:rsidR="001B64AA" w:rsidRPr="00755860">
        <w:rPr>
          <w:rFonts w:cs="Arial"/>
        </w:rPr>
        <w:lastRenderedPageBreak/>
        <w:t xml:space="preserve">medição, contudo na eventual ausência de dados para as cinco dimensões deve-se ter em conta que a análise não será tão complexa e representativa da realidade. </w:t>
      </w:r>
    </w:p>
    <w:p w14:paraId="5A3365D1" w14:textId="1AF8F4D4" w:rsidR="001B64AA" w:rsidRDefault="001B64AA" w:rsidP="002C3A93">
      <w:pPr>
        <w:spacing w:after="0"/>
        <w:ind w:firstLine="360"/>
      </w:pPr>
      <w:r>
        <w:t xml:space="preserve">Neste contexto, evidencia-se a importância de discutir o acesso a estes serviços em todas as dimensões, uma vez que </w:t>
      </w:r>
      <w:r w:rsidRPr="000568D9">
        <w:t xml:space="preserve">a população idosa apresenta uma maior dificuldade </w:t>
      </w:r>
      <w:r w:rsidR="0039311B">
        <w:t xml:space="preserve">de mobilidade e de disponibilidade financeira, assim como utiliza mais frequentemente </w:t>
      </w:r>
      <w:r w:rsidRPr="000568D9">
        <w:t>os serviços de saúde quando comparad</w:t>
      </w:r>
      <w:r>
        <w:t>a</w:t>
      </w:r>
      <w:r w:rsidRPr="000568D9">
        <w:t xml:space="preserve"> com os restantes grupos etários (Rueda </w:t>
      </w:r>
      <w:r w:rsidRPr="000568D9">
        <w:rPr>
          <w:i/>
        </w:rPr>
        <w:t>et al.,</w:t>
      </w:r>
      <w:r w:rsidRPr="000568D9">
        <w:t xml:space="preserve"> 2008).</w:t>
      </w:r>
    </w:p>
    <w:p w14:paraId="1FD26645" w14:textId="7940E9AF" w:rsidR="001B64AA" w:rsidRDefault="001B64AA" w:rsidP="002C3A93">
      <w:pPr>
        <w:spacing w:after="0"/>
        <w:ind w:firstLine="360"/>
      </w:pPr>
      <w:r>
        <w:t xml:space="preserve">Este tema apresenta-se relevante no quadro português, cuja estrutura demográfica se encontra envelhecida e onde </w:t>
      </w:r>
      <w:r w:rsidR="00232F6F" w:rsidRPr="000568D9">
        <w:t>m</w:t>
      </w:r>
      <w:r w:rsidR="00810DCB" w:rsidRPr="000568D9">
        <w:t>ais de metade d</w:t>
      </w:r>
      <w:r w:rsidR="00655BFA">
        <w:t>a</w:t>
      </w:r>
      <w:r w:rsidR="00CC0C26" w:rsidRPr="000568D9">
        <w:t xml:space="preserve"> população idosa</w:t>
      </w:r>
      <w:r w:rsidR="001727AF" w:rsidRPr="000568D9">
        <w:t xml:space="preserve"> </w:t>
      </w:r>
      <w:r w:rsidR="00E460F8" w:rsidRPr="000568D9">
        <w:t>portuguesa</w:t>
      </w:r>
      <w:r w:rsidR="00CC0C26" w:rsidRPr="000568D9">
        <w:t xml:space="preserve"> </w:t>
      </w:r>
      <w:r w:rsidR="00655BFA" w:rsidRPr="000568D9">
        <w:t xml:space="preserve">(53%) </w:t>
      </w:r>
      <w:r w:rsidR="00CC0C26" w:rsidRPr="000568D9">
        <w:t>é caracterizad</w:t>
      </w:r>
      <w:r w:rsidR="00655BFA">
        <w:t>a</w:t>
      </w:r>
      <w:r w:rsidR="00CC0C26" w:rsidRPr="000568D9">
        <w:t xml:space="preserve"> por </w:t>
      </w:r>
      <w:r w:rsidR="00810DCB" w:rsidRPr="000568D9">
        <w:t>apresentar</w:t>
      </w:r>
      <w:r w:rsidR="00CC0C26" w:rsidRPr="000568D9">
        <w:t xml:space="preserve"> </w:t>
      </w:r>
      <w:r w:rsidR="00E460F8" w:rsidRPr="000568D9">
        <w:t>pelo menos uma doença crônica</w:t>
      </w:r>
      <w:r w:rsidR="00232F6F" w:rsidRPr="000568D9">
        <w:t xml:space="preserve"> (</w:t>
      </w:r>
      <w:r w:rsidR="00400C04" w:rsidRPr="000568D9">
        <w:t>OCDE</w:t>
      </w:r>
      <w:r w:rsidR="00232F6F" w:rsidRPr="000568D9">
        <w:t>, 2019)</w:t>
      </w:r>
      <w:r w:rsidR="00CC0C26" w:rsidRPr="000568D9">
        <w:t xml:space="preserve">, </w:t>
      </w:r>
      <w:r w:rsidR="00E460F8" w:rsidRPr="000568D9">
        <w:t>proporcionando</w:t>
      </w:r>
      <w:r w:rsidR="00CC0C26" w:rsidRPr="000568D9">
        <w:t xml:space="preserve"> uma necessidade acrescida de mais cuidados de saúde</w:t>
      </w:r>
      <w:r w:rsidR="00232F6F" w:rsidRPr="000568D9">
        <w:t>, quer sejam primários ou cuidados hospitalares</w:t>
      </w:r>
      <w:r>
        <w:t>.</w:t>
      </w:r>
    </w:p>
    <w:p w14:paraId="0BB7A513" w14:textId="77777777" w:rsidR="0039311B" w:rsidRDefault="00394249" w:rsidP="002C3A93">
      <w:pPr>
        <w:spacing w:after="0"/>
        <w:ind w:firstLine="360"/>
      </w:pPr>
      <w:r w:rsidRPr="000568D9">
        <w:t>Os cuidados de saúde primários em Portugal encontram-se dividido</w:t>
      </w:r>
      <w:r w:rsidR="0039311B">
        <w:t>s</w:t>
      </w:r>
      <w:r w:rsidRPr="000568D9">
        <w:t xml:space="preserve"> </w:t>
      </w:r>
      <w:r w:rsidR="0083646B">
        <w:t xml:space="preserve">em </w:t>
      </w:r>
      <w:r w:rsidRPr="000568D9">
        <w:t xml:space="preserve">cinco tipos de unidades funcionais, contudo neste estudo </w:t>
      </w:r>
      <w:r w:rsidR="00655BFA">
        <w:t>selecionaram-se a</w:t>
      </w:r>
      <w:r w:rsidR="0039311B">
        <w:t>penas a</w:t>
      </w:r>
      <w:r w:rsidR="00655BFA">
        <w:t>s</w:t>
      </w:r>
      <w:r w:rsidRPr="000568D9">
        <w:t xml:space="preserve"> Unidades de Saúde Familiar (USF) e </w:t>
      </w:r>
      <w:r w:rsidR="0039311B">
        <w:t>a</w:t>
      </w:r>
      <w:r w:rsidRPr="000568D9">
        <w:t>s Unidades de Cuidados de Saúde Personalizados (UCSP)</w:t>
      </w:r>
      <w:r w:rsidR="00655BFA">
        <w:t>, uma vez que estas correspondem ao tipo de unidades de primeiro nível de suporte de cuidado</w:t>
      </w:r>
      <w:r w:rsidR="0039311B">
        <w:t>s</w:t>
      </w:r>
      <w:r w:rsidR="00655BFA">
        <w:t xml:space="preserve"> de saúde que </w:t>
      </w:r>
      <w:r w:rsidR="0039311B">
        <w:t>são</w:t>
      </w:r>
      <w:r w:rsidR="00655BFA">
        <w:t xml:space="preserve"> prestado</w:t>
      </w:r>
      <w:r w:rsidR="0039311B">
        <w:t>s</w:t>
      </w:r>
      <w:r w:rsidR="00655BFA">
        <w:t xml:space="preserve"> aos cidadãos.</w:t>
      </w:r>
      <w:r w:rsidR="001B64AA">
        <w:t xml:space="preserve"> </w:t>
      </w:r>
      <w:r w:rsidR="009D6520" w:rsidRPr="000568D9">
        <w:t xml:space="preserve">Devido ao seu papel de proximidade, estes equipamentos de saúde </w:t>
      </w:r>
      <w:r w:rsidR="0039311B">
        <w:t>re</w:t>
      </w:r>
      <w:r w:rsidR="009D6520" w:rsidRPr="000568D9">
        <w:t xml:space="preserve">presentam um papel fundamental na promoção da saúde, prevenção de doenças e prestação </w:t>
      </w:r>
      <w:r w:rsidR="0039311B">
        <w:t>apoio a</w:t>
      </w:r>
      <w:r w:rsidR="00F0547F" w:rsidRPr="000568D9">
        <w:t xml:space="preserve"> doenças cr</w:t>
      </w:r>
      <w:r w:rsidR="00B15DDE">
        <w:t>ô</w:t>
      </w:r>
      <w:r w:rsidR="009D6520" w:rsidRPr="000568D9">
        <w:t xml:space="preserve">nicas, permitindo melhores níveis de saúde por parte da população e uma maior equidade no acesso aos </w:t>
      </w:r>
      <w:r w:rsidR="0039311B">
        <w:t xml:space="preserve">seus </w:t>
      </w:r>
      <w:r w:rsidR="009D6520" w:rsidRPr="000568D9">
        <w:t xml:space="preserve">serviços </w:t>
      </w:r>
      <w:bookmarkStart w:id="0" w:name="_Hlk73139417"/>
      <w:r w:rsidR="009D6520" w:rsidRPr="000568D9">
        <w:t xml:space="preserve">(Decreto-lei nº 118/2014). </w:t>
      </w:r>
      <w:bookmarkEnd w:id="0"/>
    </w:p>
    <w:p w14:paraId="6A274ED5" w14:textId="0C394DF4" w:rsidR="00781344" w:rsidRPr="000568D9" w:rsidRDefault="00582897" w:rsidP="002C3A93">
      <w:pPr>
        <w:spacing w:after="0"/>
        <w:ind w:firstLine="360"/>
      </w:pPr>
      <w:r w:rsidRPr="000568D9">
        <w:t xml:space="preserve">O conceito de equidade na saúde é definido como a capacidade </w:t>
      </w:r>
      <w:r w:rsidR="00400C04" w:rsidRPr="000568D9">
        <w:t>de o</w:t>
      </w:r>
      <w:r w:rsidRPr="000568D9">
        <w:t xml:space="preserve"> sistema de saúde conseguir dar resposta à comunidade, dando oportunidade a toda a população de atingir o seu potencial de </w:t>
      </w:r>
      <w:r w:rsidRPr="006E02EA">
        <w:t>saúde, sem desigualdades</w:t>
      </w:r>
      <w:r w:rsidR="00640D8A">
        <w:t>,</w:t>
      </w:r>
      <w:r w:rsidRPr="006E02EA">
        <w:t xml:space="preserve"> </w:t>
      </w:r>
      <w:r w:rsidR="0083646B" w:rsidRPr="006E02EA">
        <w:t xml:space="preserve">muitas </w:t>
      </w:r>
      <w:r w:rsidRPr="006E02EA">
        <w:t xml:space="preserve">vezes verificadas em contexto social, geográfico ou demográfico. As desigualdades na saúde podem ser medidas de </w:t>
      </w:r>
      <w:r w:rsidR="0083646B" w:rsidRPr="006E02EA">
        <w:t>três</w:t>
      </w:r>
      <w:r w:rsidRPr="006E02EA">
        <w:t xml:space="preserve"> formas: pela procura por parte da população</w:t>
      </w:r>
      <w:r w:rsidR="00437FA4" w:rsidRPr="006E02EA">
        <w:t>,</w:t>
      </w:r>
      <w:r w:rsidRPr="006E02EA">
        <w:t xml:space="preserve"> pela qualidade do serviço de saúde</w:t>
      </w:r>
      <w:r w:rsidR="00437FA4" w:rsidRPr="006E02EA">
        <w:t xml:space="preserve"> e</w:t>
      </w:r>
      <w:r w:rsidRPr="006E02EA">
        <w:t xml:space="preserve"> pelo acesso aos serviços de saúde</w:t>
      </w:r>
      <w:r w:rsidR="00FC0E9F" w:rsidRPr="006E02EA">
        <w:t xml:space="preserve"> (Blackwood </w:t>
      </w:r>
      <w:r w:rsidR="00640D8A">
        <w:t>&amp;</w:t>
      </w:r>
      <w:r w:rsidR="00FC0E9F" w:rsidRPr="006E02EA">
        <w:t xml:space="preserve"> Bindra, 2009).</w:t>
      </w:r>
      <w:r w:rsidR="00437FA4" w:rsidRPr="006E02EA">
        <w:t xml:space="preserve"> Este último constrangimento</w:t>
      </w:r>
      <w:r w:rsidRPr="006E02EA">
        <w:t xml:space="preserve"> </w:t>
      </w:r>
      <w:r w:rsidR="00437FA4" w:rsidRPr="006E02EA">
        <w:t xml:space="preserve">é condicionado </w:t>
      </w:r>
      <w:r w:rsidR="00FC0E9F" w:rsidRPr="006E02EA">
        <w:t>em duas vertentes</w:t>
      </w:r>
      <w:r w:rsidR="0039311B">
        <w:t>,</w:t>
      </w:r>
      <w:r w:rsidR="00FC0E9F" w:rsidRPr="006E02EA">
        <w:t xml:space="preserve"> nomeadamente a</w:t>
      </w:r>
      <w:r w:rsidRPr="006E02EA">
        <w:t xml:space="preserve"> oferta de equipamentos</w:t>
      </w:r>
      <w:r w:rsidR="00437FA4" w:rsidRPr="006E02EA">
        <w:t>, e</w:t>
      </w:r>
      <w:r w:rsidRPr="006E02EA">
        <w:t xml:space="preserve"> </w:t>
      </w:r>
      <w:r w:rsidR="00781344" w:rsidRPr="006E02EA">
        <w:t xml:space="preserve">as áreas de </w:t>
      </w:r>
      <w:r w:rsidR="00400C04" w:rsidRPr="006E02EA">
        <w:t>influência</w:t>
      </w:r>
      <w:r w:rsidR="00781344" w:rsidRPr="006E02EA">
        <w:t xml:space="preserve"> de prestação de serviços desses mesmos equipamentos de saúde</w:t>
      </w:r>
      <w:r w:rsidR="00FC0E9F" w:rsidRPr="006E02EA">
        <w:t>.</w:t>
      </w:r>
    </w:p>
    <w:p w14:paraId="171F9DC5" w14:textId="05B84E79" w:rsidR="001B64AA" w:rsidRDefault="001B64AA" w:rsidP="002C3A93">
      <w:pPr>
        <w:spacing w:after="0"/>
        <w:ind w:firstLine="360"/>
        <w:rPr>
          <w:rFonts w:cs="Times New Roman"/>
          <w:szCs w:val="24"/>
        </w:rPr>
      </w:pPr>
      <w:r w:rsidRPr="000568D9">
        <w:t xml:space="preserve">O presente estudo tem como objetivo caracterizar o acesso da população idosa aos </w:t>
      </w:r>
      <w:r>
        <w:t xml:space="preserve">cuidados </w:t>
      </w:r>
      <w:r w:rsidRPr="000568D9">
        <w:t>de saúde</w:t>
      </w:r>
      <w:r w:rsidR="0039311B">
        <w:t xml:space="preserve"> primários</w:t>
      </w:r>
      <w:r w:rsidRPr="000568D9">
        <w:t>, em duas dimensões de análise</w:t>
      </w:r>
      <w:r>
        <w:t>:</w:t>
      </w:r>
      <w:r w:rsidRPr="000568D9">
        <w:t xml:space="preserve"> a disponibilidade e a acessibilidade</w:t>
      </w:r>
      <w:r>
        <w:t>,</w:t>
      </w:r>
      <w:r w:rsidRPr="000568D9">
        <w:t xml:space="preserve"> </w:t>
      </w:r>
      <w:r w:rsidRPr="00A24412">
        <w:rPr>
          <w:rFonts w:cs="Times New Roman"/>
          <w:szCs w:val="24"/>
        </w:rPr>
        <w:t>confrontando as possibilidades decorrentes da oferta de</w:t>
      </w:r>
      <w:r w:rsidR="0039311B">
        <w:rPr>
          <w:rFonts w:cs="Times New Roman"/>
          <w:szCs w:val="24"/>
        </w:rPr>
        <w:t>stes</w:t>
      </w:r>
      <w:r w:rsidRPr="00A24412">
        <w:rPr>
          <w:rFonts w:cs="Times New Roman"/>
          <w:szCs w:val="24"/>
        </w:rPr>
        <w:t xml:space="preserve"> serviços com os padrões de procura. Do confronto entre oferta e procura</w:t>
      </w:r>
      <w:r w:rsidR="0039311B">
        <w:rPr>
          <w:rFonts w:cs="Times New Roman"/>
          <w:szCs w:val="24"/>
        </w:rPr>
        <w:t>,</w:t>
      </w:r>
      <w:r w:rsidRPr="00A24412">
        <w:rPr>
          <w:rFonts w:cs="Times New Roman"/>
          <w:szCs w:val="24"/>
        </w:rPr>
        <w:t xml:space="preserve"> resulta a possibilidade de identificar as dinâmicas </w:t>
      </w:r>
      <w:r w:rsidR="00417212">
        <w:rPr>
          <w:rFonts w:cs="Times New Roman"/>
          <w:szCs w:val="24"/>
        </w:rPr>
        <w:t>territoriais</w:t>
      </w:r>
      <w:r w:rsidRPr="00A24412">
        <w:rPr>
          <w:rFonts w:cs="Times New Roman"/>
          <w:szCs w:val="24"/>
        </w:rPr>
        <w:t xml:space="preserve"> e associá-las às diferentes condições socioecon</w:t>
      </w:r>
      <w:r>
        <w:rPr>
          <w:rFonts w:cs="Times New Roman"/>
          <w:szCs w:val="24"/>
        </w:rPr>
        <w:t>ô</w:t>
      </w:r>
      <w:r w:rsidRPr="00A24412">
        <w:rPr>
          <w:rFonts w:cs="Times New Roman"/>
          <w:szCs w:val="24"/>
        </w:rPr>
        <w:t>micas dos idosos, ao seu enquadramento familiar, modo d</w:t>
      </w:r>
      <w:r w:rsidR="0039311B">
        <w:rPr>
          <w:rFonts w:cs="Times New Roman"/>
          <w:szCs w:val="24"/>
        </w:rPr>
        <w:t>e transporte e tipo de serviço.</w:t>
      </w:r>
    </w:p>
    <w:p w14:paraId="66F6D905" w14:textId="77777777" w:rsidR="001B64AA" w:rsidRPr="00684C4B" w:rsidRDefault="001B64AA" w:rsidP="002C3A93">
      <w:pPr>
        <w:spacing w:after="0"/>
        <w:ind w:firstLine="360"/>
        <w:rPr>
          <w:rFonts w:cs="Arial"/>
        </w:rPr>
      </w:pPr>
      <w:r w:rsidRPr="000568D9">
        <w:t xml:space="preserve">Neste estudo apenas iremos analisar a disponibilidade e acessibilidade aos serviços de </w:t>
      </w:r>
      <w:r w:rsidRPr="00684C4B">
        <w:rPr>
          <w:rFonts w:cs="Arial"/>
        </w:rPr>
        <w:t>saúde, permitindo assim caracterizar o padrão de distribuição dos serviços de cuidados de saúde primários e a equidade territorial existente na AML.</w:t>
      </w:r>
    </w:p>
    <w:p w14:paraId="57F01018" w14:textId="5398EE15" w:rsidR="00B15DDE" w:rsidRDefault="00B15DDE" w:rsidP="002C3A93">
      <w:pPr>
        <w:spacing w:after="0"/>
        <w:ind w:firstLine="360"/>
        <w:rPr>
          <w:rFonts w:cs="Arial"/>
        </w:rPr>
      </w:pPr>
    </w:p>
    <w:p w14:paraId="2CF27685" w14:textId="6CB98C74" w:rsidR="009706E0" w:rsidRDefault="009706E0" w:rsidP="002C3A93">
      <w:pPr>
        <w:spacing w:after="0"/>
        <w:ind w:firstLine="360"/>
        <w:rPr>
          <w:rFonts w:cs="Arial"/>
        </w:rPr>
      </w:pPr>
    </w:p>
    <w:p w14:paraId="254E2A90" w14:textId="77777777" w:rsidR="009706E0" w:rsidRPr="00684C4B" w:rsidRDefault="009706E0" w:rsidP="002C3A93">
      <w:pPr>
        <w:spacing w:after="0"/>
        <w:ind w:firstLine="360"/>
        <w:rPr>
          <w:rFonts w:cs="Arial"/>
        </w:rPr>
      </w:pPr>
    </w:p>
    <w:p w14:paraId="0DF430B5" w14:textId="003C656F" w:rsidR="00974ED1" w:rsidRPr="009706E0" w:rsidRDefault="009706E0" w:rsidP="009706E0">
      <w:pPr>
        <w:spacing w:after="0"/>
        <w:rPr>
          <w:rFonts w:cs="Arial"/>
        </w:rPr>
      </w:pPr>
      <w:r w:rsidRPr="009706E0">
        <w:rPr>
          <w:rFonts w:cs="Arial"/>
        </w:rPr>
        <w:t>METODOLOGIA E ÁREA DE ESTUDO:</w:t>
      </w:r>
    </w:p>
    <w:p w14:paraId="253122E6" w14:textId="77777777" w:rsidR="00410C22" w:rsidRPr="00684C4B" w:rsidRDefault="00410C22" w:rsidP="002C3A93">
      <w:pPr>
        <w:pStyle w:val="PargrafodaLista"/>
        <w:spacing w:after="0"/>
        <w:rPr>
          <w:rFonts w:cs="Arial"/>
        </w:rPr>
      </w:pPr>
    </w:p>
    <w:p w14:paraId="495C2A0F" w14:textId="5E51DF47" w:rsidR="00684C4B" w:rsidRDefault="00684C4B" w:rsidP="00684C4B">
      <w:pPr>
        <w:spacing w:after="0"/>
        <w:ind w:firstLine="360"/>
        <w:rPr>
          <w:rFonts w:cs="Arial"/>
        </w:rPr>
      </w:pPr>
      <w:r w:rsidRPr="00684C4B">
        <w:rPr>
          <w:rFonts w:cs="Arial"/>
        </w:rPr>
        <w:lastRenderedPageBreak/>
        <w:t>O estudo desenvolve-se na Área Metropolitana de Lisboa, território com uma área de 3015km</w:t>
      </w:r>
      <w:r w:rsidRPr="00684C4B">
        <w:rPr>
          <w:rFonts w:cs="Arial"/>
          <w:vertAlign w:val="superscript"/>
        </w:rPr>
        <w:t>2</w:t>
      </w:r>
      <w:r w:rsidRPr="00684C4B">
        <w:rPr>
          <w:rFonts w:cs="Arial"/>
        </w:rPr>
        <w:t>, composto por 18 municípios, uma população de 2.821.876 habitantes (INE, 2011), o que corresponde a uma densidade de 936 hab/km</w:t>
      </w:r>
      <w:r w:rsidRPr="00684C4B">
        <w:rPr>
          <w:rFonts w:cs="Arial"/>
          <w:vertAlign w:val="superscript"/>
        </w:rPr>
        <w:t>2</w:t>
      </w:r>
      <w:r w:rsidRPr="00684C4B">
        <w:rPr>
          <w:rFonts w:cs="Arial"/>
        </w:rPr>
        <w:t xml:space="preserve"> (INE, 2011). </w:t>
      </w:r>
    </w:p>
    <w:p w14:paraId="724BC113" w14:textId="77777777" w:rsidR="00684C4B" w:rsidRPr="00684C4B" w:rsidRDefault="00684C4B" w:rsidP="00684C4B">
      <w:pPr>
        <w:spacing w:after="0"/>
        <w:ind w:firstLine="360"/>
        <w:rPr>
          <w:rFonts w:cs="Arial"/>
        </w:rPr>
      </w:pPr>
      <w:r>
        <w:rPr>
          <w:rFonts w:cs="Arial"/>
        </w:rPr>
        <w:t xml:space="preserve">Foram considerados </w:t>
      </w:r>
      <w:r w:rsidRPr="00684C4B">
        <w:rPr>
          <w:rFonts w:cs="Arial"/>
        </w:rPr>
        <w:t xml:space="preserve">os cuidados de saúde primários (CSP), que representam o primeiro contacto do cidadão com o Serviço Nacional de Saúde (SNS). Estes serviços funcionam e respondem com uma lógica de proximidade, articulando-se com outros serviços de saúde, nomeadamente os hospitais da área territorial por eles abrangidos (Decreto-lei nº 60/2003). </w:t>
      </w:r>
    </w:p>
    <w:p w14:paraId="1F21A09D" w14:textId="016D7FC1" w:rsidR="002D1C9D" w:rsidRDefault="00684C4B" w:rsidP="00684C4B">
      <w:pPr>
        <w:spacing w:after="0"/>
        <w:ind w:firstLine="360"/>
        <w:rPr>
          <w:rFonts w:cs="Arial"/>
        </w:rPr>
      </w:pPr>
      <w:r w:rsidRPr="00684C4B">
        <w:rPr>
          <w:rFonts w:cs="Arial"/>
        </w:rPr>
        <w:t>Para atingir o objetivo</w:t>
      </w:r>
      <w:r w:rsidRPr="002C3A93">
        <w:rPr>
          <w:rFonts w:cs="Arial"/>
        </w:rPr>
        <w:t xml:space="preserve"> pretendido, foram necessárias duas fases metodológicas</w:t>
      </w:r>
      <w:r>
        <w:rPr>
          <w:rFonts w:cs="Arial"/>
        </w:rPr>
        <w:t>. P</w:t>
      </w:r>
      <w:r w:rsidRPr="002C3A93">
        <w:rPr>
          <w:rFonts w:cs="Arial"/>
        </w:rPr>
        <w:t>rimeiramente</w:t>
      </w:r>
      <w:r>
        <w:rPr>
          <w:rFonts w:cs="Arial"/>
        </w:rPr>
        <w:t>,</w:t>
      </w:r>
      <w:r w:rsidRPr="002C3A93">
        <w:rPr>
          <w:rFonts w:cs="Arial"/>
        </w:rPr>
        <w:t xml:space="preserve"> a partir da modelação da rede viária em S</w:t>
      </w:r>
      <w:r>
        <w:rPr>
          <w:rFonts w:cs="Arial"/>
        </w:rPr>
        <w:t>istema de Informação Geográfica (SIG),</w:t>
      </w:r>
      <w:r w:rsidRPr="002C3A93">
        <w:rPr>
          <w:rFonts w:cs="Arial"/>
        </w:rPr>
        <w:t xml:space="preserve"> foi possível realizar o cálculo de distâncias físicas e o tempo de deslocação </w:t>
      </w:r>
      <w:r>
        <w:rPr>
          <w:rFonts w:cs="Arial"/>
        </w:rPr>
        <w:t xml:space="preserve">aos serviços considerando o </w:t>
      </w:r>
      <w:r w:rsidRPr="002C3A93">
        <w:rPr>
          <w:rFonts w:cs="Arial"/>
        </w:rPr>
        <w:t>modo pedonal (velocidade adequada à deslocação a pé dos idosos de 3,5</w:t>
      </w:r>
      <w:r w:rsidR="00640D8A">
        <w:rPr>
          <w:rFonts w:cs="Arial"/>
        </w:rPr>
        <w:t xml:space="preserve"> </w:t>
      </w:r>
      <w:r w:rsidRPr="002C3A93">
        <w:rPr>
          <w:rFonts w:cs="Arial"/>
        </w:rPr>
        <w:t xml:space="preserve">km/h) e o modo rodoviário </w:t>
      </w:r>
      <w:r w:rsidRPr="002C3A93">
        <w:rPr>
          <w:rFonts w:cs="Arial"/>
          <w:iCs/>
        </w:rPr>
        <w:t xml:space="preserve">(de acordo com a velocidade máxima possível no trecho viário correspondente), </w:t>
      </w:r>
      <w:r w:rsidRPr="002C3A93">
        <w:rPr>
          <w:rFonts w:cs="Arial"/>
        </w:rPr>
        <w:t xml:space="preserve">permitindo calcular o potencial de cobertura da população idosa das unidades de cuidados de saúde primários, tendo em conta diferentes limiares de distância-tempo: menos de 15 minutos, 15 a 30 minutos, 30 a 60 minutos e mais de 60 minutos. </w:t>
      </w:r>
    </w:p>
    <w:p w14:paraId="22E1E414" w14:textId="5C20D827" w:rsidR="009463AF" w:rsidRDefault="009463AF" w:rsidP="009463AF">
      <w:pPr>
        <w:spacing w:after="0"/>
        <w:ind w:firstLine="360"/>
        <w:rPr>
          <w:rFonts w:cs="Arial"/>
          <w:i/>
          <w:u w:val="single"/>
        </w:rPr>
      </w:pPr>
      <w:r w:rsidRPr="002C3A93">
        <w:rPr>
          <w:rFonts w:cs="Arial"/>
        </w:rPr>
        <w:t>Posteriormente confront</w:t>
      </w:r>
      <w:r>
        <w:rPr>
          <w:rFonts w:cs="Arial"/>
        </w:rPr>
        <w:t>aram</w:t>
      </w:r>
      <w:r w:rsidRPr="002C3A93">
        <w:rPr>
          <w:rFonts w:cs="Arial"/>
        </w:rPr>
        <w:t xml:space="preserve">-se os valores </w:t>
      </w:r>
      <w:r>
        <w:rPr>
          <w:rFonts w:cs="Arial"/>
        </w:rPr>
        <w:t xml:space="preserve">dos </w:t>
      </w:r>
      <w:r w:rsidRPr="002C3A93">
        <w:rPr>
          <w:rFonts w:cs="Arial"/>
        </w:rPr>
        <w:t xml:space="preserve">potenciais populacionais </w:t>
      </w:r>
      <w:r>
        <w:rPr>
          <w:rFonts w:cs="Arial"/>
        </w:rPr>
        <w:t xml:space="preserve">cobertos pelo equipamento tendo em conta diferentes distâncias e tempo a percorrer, </w:t>
      </w:r>
      <w:r w:rsidRPr="002C3A93">
        <w:rPr>
          <w:rFonts w:cs="Arial"/>
        </w:rPr>
        <w:t xml:space="preserve">com a </w:t>
      </w:r>
      <w:r>
        <w:rPr>
          <w:rFonts w:cs="Arial"/>
        </w:rPr>
        <w:t xml:space="preserve">efetiva </w:t>
      </w:r>
      <w:r w:rsidRPr="002C3A93">
        <w:rPr>
          <w:rFonts w:cs="Arial"/>
        </w:rPr>
        <w:t>procura a</w:t>
      </w:r>
      <w:r>
        <w:rPr>
          <w:rFonts w:cs="Arial"/>
        </w:rPr>
        <w:t xml:space="preserve"> esses mesmos cuidados. E</w:t>
      </w:r>
      <w:r w:rsidRPr="002C3A93">
        <w:rPr>
          <w:rFonts w:cs="Arial"/>
        </w:rPr>
        <w:t xml:space="preserve">ste perfil de procura aos serviços de proximidade foi determinado através de inquéritos realizados à população idosa residente nos vários municípios da AML, </w:t>
      </w:r>
      <w:r>
        <w:rPr>
          <w:rFonts w:cs="Arial"/>
        </w:rPr>
        <w:t xml:space="preserve">incluindo </w:t>
      </w:r>
      <w:r w:rsidRPr="002C3A93">
        <w:rPr>
          <w:rFonts w:cs="Arial"/>
        </w:rPr>
        <w:t xml:space="preserve">os modos de transportes </w:t>
      </w:r>
      <w:r>
        <w:rPr>
          <w:rFonts w:cs="Arial"/>
        </w:rPr>
        <w:t>usados pelos inquiridos</w:t>
      </w:r>
      <w:r w:rsidRPr="002C3A93">
        <w:rPr>
          <w:rFonts w:cs="Arial"/>
        </w:rPr>
        <w:t xml:space="preserve">, </w:t>
      </w:r>
      <w:r>
        <w:rPr>
          <w:rFonts w:cs="Arial"/>
        </w:rPr>
        <w:t xml:space="preserve">nomeadamente, </w:t>
      </w:r>
      <w:r w:rsidRPr="002C3A93">
        <w:rPr>
          <w:rFonts w:cs="Arial"/>
        </w:rPr>
        <w:t>salientando os modos suaves (pé ou bicicleta), o transporte individual, coletivo ou uma combinação de modos de deslocação (</w:t>
      </w:r>
      <w:r w:rsidRPr="002C3A93">
        <w:rPr>
          <w:rFonts w:cs="Arial"/>
          <w:shd w:val="clear" w:color="auto" w:fill="FFFFFF"/>
        </w:rPr>
        <w:t>Costa, Costa, Louro &amp; Barata, 2020)</w:t>
      </w:r>
      <w:r w:rsidRPr="002C3A93">
        <w:rPr>
          <w:rFonts w:cs="Arial"/>
        </w:rPr>
        <w:t>.</w:t>
      </w:r>
      <w:r w:rsidRPr="002C3A93">
        <w:rPr>
          <w:rFonts w:cs="Arial"/>
          <w:i/>
          <w:u w:val="single"/>
        </w:rPr>
        <w:t xml:space="preserve"> </w:t>
      </w:r>
    </w:p>
    <w:p w14:paraId="4EF792F4" w14:textId="77777777" w:rsidR="009463AF" w:rsidRPr="002C3A93" w:rsidRDefault="009463AF" w:rsidP="009463AF">
      <w:pPr>
        <w:spacing w:after="0"/>
        <w:ind w:firstLine="360"/>
        <w:rPr>
          <w:i/>
          <w:u w:val="single"/>
        </w:rPr>
      </w:pPr>
      <w:r w:rsidRPr="000568D9">
        <w:t>O inquérito foi realizado em 2017</w:t>
      </w:r>
      <w:r>
        <w:t>,</w:t>
      </w:r>
      <w:r w:rsidRPr="000568D9">
        <w:t xml:space="preserve"> a 131 idosos, incindindo</w:t>
      </w:r>
      <w:r>
        <w:t xml:space="preserve"> em</w:t>
      </w:r>
      <w:r w:rsidRPr="000568D9">
        <w:t xml:space="preserve"> 89 agregados familiares e cinco áreas de estudo, corresponden</w:t>
      </w:r>
      <w:r>
        <w:t>tes</w:t>
      </w:r>
      <w:r w:rsidRPr="000568D9">
        <w:t xml:space="preserve"> </w:t>
      </w:r>
      <w:r>
        <w:t>à</w:t>
      </w:r>
      <w:r w:rsidRPr="000568D9">
        <w:t xml:space="preserve">s diferentes coroas metropolitanas. Estas coroas demonstram o modelo de urbanização existente na AML: a primeira coroa, </w:t>
      </w:r>
      <w:r w:rsidRPr="006E02EA">
        <w:t>representa a Lisboa cidade,</w:t>
      </w:r>
      <w:r w:rsidRPr="000568D9">
        <w:t xml:space="preserve"> onde inclui todas as localidades que se encontram até 10 km de distância em linha reta à cidade; a segunda coroa </w:t>
      </w:r>
      <w:r>
        <w:t xml:space="preserve">apresenta um raio </w:t>
      </w:r>
      <w:r w:rsidRPr="00F7587E">
        <w:rPr>
          <w:iCs/>
        </w:rPr>
        <w:t>entre os 10km e os 15km de distância; a terceira coroa entre os 15km e os 25km de distância; e a quarta coroa inclui todas as localidades que estão além dos 25km de distância da área central</w:t>
      </w:r>
      <w:r>
        <w:rPr>
          <w:iCs/>
        </w:rPr>
        <w:t xml:space="preserve"> </w:t>
      </w:r>
      <w:r w:rsidRPr="00755860">
        <w:rPr>
          <w:rFonts w:cs="Arial"/>
        </w:rPr>
        <w:t>(</w:t>
      </w:r>
      <w:r w:rsidRPr="00755860">
        <w:rPr>
          <w:rFonts w:cs="Arial"/>
          <w:shd w:val="clear" w:color="auto" w:fill="FFFFFF"/>
        </w:rPr>
        <w:t>Costa, Costa, Louro &amp; Barata, 2020)</w:t>
      </w:r>
      <w:r w:rsidRPr="00755860">
        <w:rPr>
          <w:rFonts w:cs="Arial"/>
        </w:rPr>
        <w:t>.</w:t>
      </w:r>
    </w:p>
    <w:p w14:paraId="2AA39B64" w14:textId="77777777" w:rsidR="009463AF" w:rsidRDefault="009463AF" w:rsidP="00684C4B">
      <w:pPr>
        <w:spacing w:after="0"/>
        <w:ind w:firstLine="360"/>
        <w:rPr>
          <w:rFonts w:cs="Arial"/>
        </w:rPr>
      </w:pPr>
    </w:p>
    <w:p w14:paraId="05155529" w14:textId="77777777" w:rsidR="002D1C9D" w:rsidRPr="00B15DDE" w:rsidRDefault="002D1C9D" w:rsidP="002D1C9D">
      <w:pPr>
        <w:pStyle w:val="Legenda"/>
        <w:keepNext/>
        <w:spacing w:after="0"/>
        <w:jc w:val="center"/>
        <w:rPr>
          <w:i w:val="0"/>
          <w:iCs w:val="0"/>
          <w:color w:val="auto"/>
          <w:sz w:val="22"/>
          <w:szCs w:val="22"/>
        </w:rPr>
      </w:pPr>
      <w:r w:rsidRPr="00B15DDE">
        <w:rPr>
          <w:i w:val="0"/>
          <w:iCs w:val="0"/>
          <w:color w:val="auto"/>
          <w:sz w:val="22"/>
          <w:szCs w:val="22"/>
        </w:rPr>
        <w:lastRenderedPageBreak/>
        <w:t xml:space="preserve">Figura </w:t>
      </w:r>
      <w:r w:rsidRPr="00B15DDE">
        <w:rPr>
          <w:i w:val="0"/>
          <w:iCs w:val="0"/>
          <w:color w:val="auto"/>
          <w:sz w:val="22"/>
          <w:szCs w:val="22"/>
        </w:rPr>
        <w:fldChar w:fldCharType="begin"/>
      </w:r>
      <w:r w:rsidRPr="00B15DDE">
        <w:rPr>
          <w:i w:val="0"/>
          <w:iCs w:val="0"/>
          <w:color w:val="auto"/>
          <w:sz w:val="22"/>
          <w:szCs w:val="22"/>
        </w:rPr>
        <w:instrText xml:space="preserve"> SEQ Figura \* ARABIC </w:instrText>
      </w:r>
      <w:r w:rsidRPr="00B15DDE">
        <w:rPr>
          <w:i w:val="0"/>
          <w:iCs w:val="0"/>
          <w:color w:val="auto"/>
          <w:sz w:val="22"/>
          <w:szCs w:val="22"/>
        </w:rPr>
        <w:fldChar w:fldCharType="separate"/>
      </w:r>
      <w:r>
        <w:rPr>
          <w:i w:val="0"/>
          <w:iCs w:val="0"/>
          <w:noProof/>
          <w:color w:val="auto"/>
          <w:sz w:val="22"/>
          <w:szCs w:val="22"/>
        </w:rPr>
        <w:t>1</w:t>
      </w:r>
      <w:r w:rsidRPr="00B15DDE">
        <w:rPr>
          <w:i w:val="0"/>
          <w:iCs w:val="0"/>
          <w:color w:val="auto"/>
          <w:sz w:val="22"/>
          <w:szCs w:val="22"/>
        </w:rPr>
        <w:fldChar w:fldCharType="end"/>
      </w:r>
      <w:r w:rsidRPr="00B15DDE">
        <w:rPr>
          <w:i w:val="0"/>
          <w:iCs w:val="0"/>
          <w:color w:val="auto"/>
          <w:sz w:val="22"/>
          <w:szCs w:val="22"/>
        </w:rPr>
        <w:t xml:space="preserve"> – Área de estudo</w:t>
      </w:r>
      <w:r>
        <w:rPr>
          <w:i w:val="0"/>
          <w:iCs w:val="0"/>
          <w:color w:val="auto"/>
          <w:sz w:val="22"/>
          <w:szCs w:val="22"/>
        </w:rPr>
        <w:t>: Área Metropolitana de Lisboa</w:t>
      </w:r>
    </w:p>
    <w:p w14:paraId="1E70C849" w14:textId="77777777" w:rsidR="002D1C9D" w:rsidRPr="000568D9" w:rsidRDefault="002D1C9D" w:rsidP="002D1C9D">
      <w:pPr>
        <w:spacing w:line="240" w:lineRule="auto"/>
        <w:jc w:val="center"/>
      </w:pPr>
      <w:r w:rsidRPr="00A24412">
        <w:rPr>
          <w:rFonts w:eastAsiaTheme="majorEastAsia" w:cs="Times New Roman"/>
          <w:b/>
          <w:bCs/>
          <w:caps/>
          <w:noProof/>
          <w:color w:val="5B9BD5" w:themeColor="accent1"/>
          <w:szCs w:val="24"/>
          <w:lang w:val="en-GB" w:eastAsia="en-GB"/>
        </w:rPr>
        <w:drawing>
          <wp:inline distT="0" distB="0" distL="0" distR="0" wp14:anchorId="56CE8BB4" wp14:editId="113CBD58">
            <wp:extent cx="4609920" cy="3383280"/>
            <wp:effectExtent l="0" t="0" r="635" b="762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4 (1).jpg"/>
                    <pic:cNvPicPr/>
                  </pic:nvPicPr>
                  <pic:blipFill rotWithShape="1">
                    <a:blip r:embed="rId8" cstate="print">
                      <a:extLst>
                        <a:ext uri="{28A0092B-C50C-407E-A947-70E740481C1C}">
                          <a14:useLocalDpi xmlns:a14="http://schemas.microsoft.com/office/drawing/2010/main" val="0"/>
                        </a:ext>
                      </a:extLst>
                    </a:blip>
                    <a:srcRect r="1608" b="3726"/>
                    <a:stretch/>
                  </pic:blipFill>
                  <pic:spPr bwMode="auto">
                    <a:xfrm>
                      <a:off x="0" y="0"/>
                      <a:ext cx="4619447" cy="3390272"/>
                    </a:xfrm>
                    <a:prstGeom prst="rect">
                      <a:avLst/>
                    </a:prstGeom>
                    <a:ln>
                      <a:noFill/>
                    </a:ln>
                    <a:extLst>
                      <a:ext uri="{53640926-AAD7-44D8-BBD7-CCE9431645EC}">
                        <a14:shadowObscured xmlns:a14="http://schemas.microsoft.com/office/drawing/2010/main"/>
                      </a:ext>
                    </a:extLst>
                  </pic:spPr>
                </pic:pic>
              </a:graphicData>
            </a:graphic>
          </wp:inline>
        </w:drawing>
      </w:r>
    </w:p>
    <w:p w14:paraId="67C04972" w14:textId="77777777" w:rsidR="002D1C9D" w:rsidRDefault="002D1C9D" w:rsidP="002D1C9D">
      <w:pPr>
        <w:spacing w:line="240" w:lineRule="auto"/>
        <w:jc w:val="center"/>
      </w:pPr>
      <w:r>
        <w:t>Fonte: Louro (2019)</w:t>
      </w:r>
    </w:p>
    <w:p w14:paraId="0A06084B" w14:textId="77777777" w:rsidR="00684C4B" w:rsidRDefault="00684C4B" w:rsidP="00684C4B">
      <w:pPr>
        <w:pStyle w:val="Legenda"/>
        <w:keepNext/>
        <w:spacing w:after="0"/>
        <w:jc w:val="center"/>
        <w:rPr>
          <w:i w:val="0"/>
          <w:iCs w:val="0"/>
          <w:color w:val="auto"/>
          <w:sz w:val="22"/>
          <w:szCs w:val="22"/>
        </w:rPr>
      </w:pPr>
    </w:p>
    <w:p w14:paraId="09EE6FB1" w14:textId="09E3A4A6" w:rsidR="001A4876" w:rsidRDefault="009706E0" w:rsidP="009706E0">
      <w:pPr>
        <w:spacing w:after="0"/>
      </w:pPr>
      <w:r w:rsidRPr="000568D9">
        <w:t>RESULTADO</w:t>
      </w:r>
      <w:r>
        <w:t>S</w:t>
      </w:r>
      <w:r w:rsidRPr="000568D9">
        <w:t xml:space="preserve"> E DISCUSSÃO:</w:t>
      </w:r>
    </w:p>
    <w:p w14:paraId="1B3F82E3" w14:textId="77777777" w:rsidR="001A4876" w:rsidRPr="000568D9" w:rsidRDefault="001A4876" w:rsidP="001A4876">
      <w:pPr>
        <w:pStyle w:val="PargrafodaLista"/>
        <w:spacing w:after="0"/>
      </w:pPr>
    </w:p>
    <w:p w14:paraId="6E8D1109" w14:textId="7A2DEA82" w:rsidR="001A4876" w:rsidRDefault="001A4876" w:rsidP="001A4876">
      <w:pPr>
        <w:spacing w:after="0"/>
        <w:ind w:firstLine="708"/>
      </w:pPr>
      <w:r w:rsidRPr="006E02EA">
        <w:t>Os resultados da análise referente ao potencial</w:t>
      </w:r>
      <w:r w:rsidRPr="000568D9">
        <w:t xml:space="preserve"> de prestação de serviços de cuidados de saúde primários existentes em 2019 mostram </w:t>
      </w:r>
      <w:r w:rsidR="009E5282">
        <w:t>diferenças</w:t>
      </w:r>
      <w:r w:rsidRPr="000568D9">
        <w:t xml:space="preserve"> consoante as coroas e a sua distância à cidade de Lisboa, sendo visível que o potencial populacional é superior a 100% nas várias coroas com exceção da terceira coroa, que representam as áreas periféricas da AML com uma urbanização dispersa</w:t>
      </w:r>
      <w:r>
        <w:t>. E</w:t>
      </w:r>
      <w:r w:rsidRPr="000568D9">
        <w:t xml:space="preserve">ste potencial é explicado pelos diferentes níveis de densidade populacional, </w:t>
      </w:r>
      <w:r w:rsidR="009463AF">
        <w:t xml:space="preserve">do edificado e </w:t>
      </w:r>
      <w:r w:rsidRPr="000568D9">
        <w:t>da população idosa</w:t>
      </w:r>
      <w:r w:rsidR="009463AF">
        <w:t>,</w:t>
      </w:r>
      <w:r w:rsidRPr="000568D9">
        <w:t xml:space="preserve"> </w:t>
      </w:r>
      <w:r w:rsidR="009E5282">
        <w:t xml:space="preserve">que justificam a presença de mais serviços e também uma melhor rede </w:t>
      </w:r>
      <w:r w:rsidRPr="000568D9">
        <w:t>de transporte</w:t>
      </w:r>
      <w:r>
        <w:t xml:space="preserve"> público</w:t>
      </w:r>
      <w:r w:rsidR="009E5282">
        <w:t xml:space="preserve"> que os torna mais acessíveis.</w:t>
      </w:r>
      <w:r w:rsidRPr="000568D9">
        <w:t xml:space="preserve"> </w:t>
      </w:r>
    </w:p>
    <w:p w14:paraId="7291923B" w14:textId="77777777" w:rsidR="009463AF" w:rsidRDefault="009463AF" w:rsidP="001A4876">
      <w:pPr>
        <w:spacing w:after="0"/>
        <w:ind w:firstLine="708"/>
      </w:pPr>
    </w:p>
    <w:p w14:paraId="10A6CF92" w14:textId="77777777" w:rsidR="002D1C9D" w:rsidRPr="00B15DDE" w:rsidRDefault="002D1C9D" w:rsidP="002D1C9D">
      <w:pPr>
        <w:pStyle w:val="Legenda"/>
        <w:keepNext/>
        <w:spacing w:after="0"/>
        <w:jc w:val="center"/>
        <w:rPr>
          <w:i w:val="0"/>
          <w:iCs w:val="0"/>
          <w:color w:val="auto"/>
        </w:rPr>
      </w:pPr>
      <w:r w:rsidRPr="00B15DDE">
        <w:rPr>
          <w:i w:val="0"/>
          <w:iCs w:val="0"/>
          <w:color w:val="auto"/>
          <w:sz w:val="22"/>
          <w:szCs w:val="22"/>
        </w:rPr>
        <w:lastRenderedPageBreak/>
        <w:t xml:space="preserve">Figura </w:t>
      </w:r>
      <w:r>
        <w:rPr>
          <w:i w:val="0"/>
          <w:iCs w:val="0"/>
          <w:color w:val="auto"/>
          <w:sz w:val="22"/>
          <w:szCs w:val="22"/>
        </w:rPr>
        <w:t>2</w:t>
      </w:r>
      <w:r w:rsidRPr="00B15DDE">
        <w:rPr>
          <w:i w:val="0"/>
          <w:iCs w:val="0"/>
          <w:color w:val="auto"/>
          <w:sz w:val="22"/>
          <w:szCs w:val="22"/>
        </w:rPr>
        <w:t xml:space="preserve"> – Densidade de população com 65 e mais anos, por freguesia (hab/km</w:t>
      </w:r>
      <w:r w:rsidRPr="00B15DDE">
        <w:rPr>
          <w:i w:val="0"/>
          <w:iCs w:val="0"/>
          <w:color w:val="auto"/>
          <w:sz w:val="22"/>
          <w:szCs w:val="22"/>
          <w:vertAlign w:val="superscript"/>
        </w:rPr>
        <w:t>2</w:t>
      </w:r>
      <w:r w:rsidRPr="00B15DDE">
        <w:rPr>
          <w:i w:val="0"/>
          <w:iCs w:val="0"/>
          <w:color w:val="auto"/>
          <w:sz w:val="22"/>
          <w:szCs w:val="22"/>
        </w:rPr>
        <w:t>), 2011</w:t>
      </w:r>
    </w:p>
    <w:p w14:paraId="6A75D586" w14:textId="77777777" w:rsidR="002D1C9D" w:rsidRDefault="002D1C9D" w:rsidP="002D1C9D">
      <w:pPr>
        <w:spacing w:after="0"/>
        <w:jc w:val="center"/>
      </w:pPr>
      <w:r>
        <w:rPr>
          <w:noProof/>
          <w:lang w:val="en-GB" w:eastAsia="en-GB"/>
        </w:rPr>
        <w:drawing>
          <wp:inline distT="0" distB="0" distL="0" distR="0" wp14:anchorId="78E3D718" wp14:editId="020201A3">
            <wp:extent cx="3607435" cy="2549581"/>
            <wp:effectExtent l="0" t="0" r="0" b="317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6299" cy="2577049"/>
                    </a:xfrm>
                    <a:prstGeom prst="rect">
                      <a:avLst/>
                    </a:prstGeom>
                    <a:noFill/>
                    <a:ln>
                      <a:noFill/>
                    </a:ln>
                  </pic:spPr>
                </pic:pic>
              </a:graphicData>
            </a:graphic>
          </wp:inline>
        </w:drawing>
      </w:r>
    </w:p>
    <w:p w14:paraId="458D6C71" w14:textId="77777777" w:rsidR="002D1C9D" w:rsidRDefault="002D1C9D" w:rsidP="002D1C9D">
      <w:pPr>
        <w:spacing w:after="0"/>
        <w:jc w:val="center"/>
      </w:pPr>
      <w:r>
        <w:t>Fonte: INE (2011) e DGT (2018)</w:t>
      </w:r>
    </w:p>
    <w:p w14:paraId="4378DB81" w14:textId="1E32B693" w:rsidR="008401D4" w:rsidRDefault="00404351" w:rsidP="002C3A93">
      <w:pPr>
        <w:spacing w:after="0"/>
        <w:ind w:firstLine="709"/>
      </w:pPr>
      <w:r w:rsidRPr="000568D9">
        <w:t xml:space="preserve">Contudo, </w:t>
      </w:r>
      <w:r w:rsidR="005D3347" w:rsidRPr="000568D9">
        <w:t>ao analisarmos o funcionamento dos equipamentos de CSP, nomeadamente aqueles que se encontram abertos até as 18h ou 20h</w:t>
      </w:r>
      <w:r w:rsidR="008F457F">
        <w:t>,</w:t>
      </w:r>
      <w:r w:rsidR="005D3347" w:rsidRPr="000568D9">
        <w:t xml:space="preserve"> </w:t>
      </w:r>
      <w:r w:rsidRPr="000568D9">
        <w:t>verificamos uma dinâmica oposta</w:t>
      </w:r>
      <w:r w:rsidR="005D3347" w:rsidRPr="000568D9">
        <w:t xml:space="preserve"> </w:t>
      </w:r>
      <w:r w:rsidRPr="000568D9">
        <w:t>com um decréscimo dos valores</w:t>
      </w:r>
      <w:r w:rsidR="005D3347" w:rsidRPr="000568D9">
        <w:t>, tendo um maior destaque na segunda coroa.</w:t>
      </w:r>
      <w:r w:rsidR="008401D4">
        <w:t xml:space="preserve"> Em relação ao funcionamento dos CSP durante </w:t>
      </w:r>
      <w:r w:rsidR="008401D4" w:rsidRPr="008401D4">
        <w:t>fins de semana e feriados até às 14h, verificamos que existe uma baixa cobertura populacional</w:t>
      </w:r>
      <w:r w:rsidR="008401D4">
        <w:t>,</w:t>
      </w:r>
      <w:r w:rsidR="008401D4" w:rsidRPr="008401D4">
        <w:t xml:space="preserve"> </w:t>
      </w:r>
      <w:r w:rsidR="001A4876">
        <w:t>que faz descer o potencial de cobertura para os</w:t>
      </w:r>
      <w:r w:rsidR="008401D4" w:rsidRPr="008401D4">
        <w:t xml:space="preserve"> 60 e os 70%</w:t>
      </w:r>
      <w:r w:rsidR="00755860">
        <w:t>.</w:t>
      </w:r>
    </w:p>
    <w:p w14:paraId="5A0D8FFE" w14:textId="5559E188" w:rsidR="00410C22" w:rsidRDefault="00410C22" w:rsidP="002C3A93">
      <w:pPr>
        <w:spacing w:after="0"/>
        <w:ind w:firstLine="709"/>
      </w:pPr>
    </w:p>
    <w:p w14:paraId="095FB4F4" w14:textId="120DE9C4" w:rsidR="00410C22" w:rsidRPr="00410C22" w:rsidRDefault="00410C22" w:rsidP="002C3A93">
      <w:pPr>
        <w:pStyle w:val="Legenda"/>
        <w:keepNext/>
        <w:rPr>
          <w:i w:val="0"/>
          <w:iCs w:val="0"/>
          <w:color w:val="auto"/>
          <w:sz w:val="22"/>
          <w:szCs w:val="22"/>
        </w:rPr>
      </w:pPr>
      <w:r w:rsidRPr="00410C22">
        <w:rPr>
          <w:i w:val="0"/>
          <w:iCs w:val="0"/>
          <w:color w:val="auto"/>
          <w:sz w:val="22"/>
          <w:szCs w:val="22"/>
        </w:rPr>
        <w:t xml:space="preserve">Tabela </w:t>
      </w:r>
      <w:r w:rsidRPr="00410C22">
        <w:rPr>
          <w:i w:val="0"/>
          <w:iCs w:val="0"/>
          <w:color w:val="auto"/>
          <w:sz w:val="22"/>
          <w:szCs w:val="22"/>
        </w:rPr>
        <w:fldChar w:fldCharType="begin"/>
      </w:r>
      <w:r w:rsidRPr="00410C22">
        <w:rPr>
          <w:i w:val="0"/>
          <w:iCs w:val="0"/>
          <w:color w:val="auto"/>
          <w:sz w:val="22"/>
          <w:szCs w:val="22"/>
        </w:rPr>
        <w:instrText xml:space="preserve"> SEQ Tabela \* ARABIC </w:instrText>
      </w:r>
      <w:r w:rsidRPr="00410C22">
        <w:rPr>
          <w:i w:val="0"/>
          <w:iCs w:val="0"/>
          <w:color w:val="auto"/>
          <w:sz w:val="22"/>
          <w:szCs w:val="22"/>
        </w:rPr>
        <w:fldChar w:fldCharType="separate"/>
      </w:r>
      <w:r w:rsidR="00E1687E">
        <w:rPr>
          <w:i w:val="0"/>
          <w:iCs w:val="0"/>
          <w:noProof/>
          <w:color w:val="auto"/>
          <w:sz w:val="22"/>
          <w:szCs w:val="22"/>
        </w:rPr>
        <w:t>1</w:t>
      </w:r>
      <w:r w:rsidRPr="00410C22">
        <w:rPr>
          <w:i w:val="0"/>
          <w:iCs w:val="0"/>
          <w:color w:val="auto"/>
          <w:sz w:val="22"/>
          <w:szCs w:val="22"/>
        </w:rPr>
        <w:fldChar w:fldCharType="end"/>
      </w:r>
      <w:r w:rsidRPr="00410C22">
        <w:rPr>
          <w:i w:val="0"/>
          <w:iCs w:val="0"/>
          <w:color w:val="auto"/>
          <w:sz w:val="22"/>
          <w:szCs w:val="22"/>
        </w:rPr>
        <w:t xml:space="preserve"> - Indicadores de oferta da prestação de cuidados de saúde primários na AML, 2019</w:t>
      </w:r>
    </w:p>
    <w:tbl>
      <w:tblPr>
        <w:tblW w:w="9073" w:type="dxa"/>
        <w:jc w:val="center"/>
        <w:tblCellMar>
          <w:left w:w="0" w:type="dxa"/>
          <w:right w:w="0" w:type="dxa"/>
        </w:tblCellMar>
        <w:tblLook w:val="04A0" w:firstRow="1" w:lastRow="0" w:firstColumn="1" w:lastColumn="0" w:noHBand="0" w:noVBand="1"/>
      </w:tblPr>
      <w:tblGrid>
        <w:gridCol w:w="2669"/>
        <w:gridCol w:w="1474"/>
        <w:gridCol w:w="1191"/>
        <w:gridCol w:w="419"/>
        <w:gridCol w:w="1477"/>
        <w:gridCol w:w="133"/>
        <w:gridCol w:w="1710"/>
      </w:tblGrid>
      <w:tr w:rsidR="00C379D5" w:rsidRPr="00CC79AA" w14:paraId="36BF58CD" w14:textId="77777777" w:rsidTr="00A76199">
        <w:trPr>
          <w:trHeight w:val="20"/>
          <w:jc w:val="center"/>
        </w:trPr>
        <w:tc>
          <w:tcPr>
            <w:tcW w:w="2669" w:type="dxa"/>
            <w:tcBorders>
              <w:bottom w:val="single" w:sz="4" w:space="0" w:color="auto"/>
              <w:right w:val="single" w:sz="4" w:space="0" w:color="auto"/>
            </w:tcBorders>
            <w:shd w:val="clear" w:color="auto" w:fill="auto"/>
            <w:vAlign w:val="bottom"/>
            <w:hideMark/>
          </w:tcPr>
          <w:p w14:paraId="1E7400E9" w14:textId="4B7D83B1" w:rsidR="00C379D5" w:rsidRPr="00CC79AA" w:rsidRDefault="00C379D5" w:rsidP="009463AF">
            <w:pPr>
              <w:spacing w:after="0" w:line="240" w:lineRule="auto"/>
              <w:rPr>
                <w:rFonts w:eastAsia="Times New Roman" w:cs="Arial"/>
                <w:lang w:eastAsia="en-GB"/>
              </w:rPr>
            </w:pPr>
            <w:r w:rsidRPr="00CC79AA">
              <w:rPr>
                <w:rFonts w:eastAsia="Times New Roman" w:cs="Arial"/>
                <w:lang w:eastAsia="en-GB"/>
              </w:rPr>
              <w:t> </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6353AED4" w14:textId="77777777" w:rsidR="00C379D5" w:rsidRPr="00CC79AA" w:rsidRDefault="00C379D5" w:rsidP="009463AF">
            <w:pPr>
              <w:spacing w:after="0" w:line="240" w:lineRule="auto"/>
              <w:jc w:val="center"/>
              <w:rPr>
                <w:rFonts w:eastAsia="Times New Roman" w:cs="Arial"/>
                <w:bCs/>
                <w:lang w:eastAsia="en-GB"/>
              </w:rPr>
            </w:pPr>
            <w:r w:rsidRPr="00CC79AA">
              <w:rPr>
                <w:rFonts w:eastAsia="Times New Roman" w:cs="Arial"/>
                <w:bCs/>
                <w:lang w:eastAsia="en-GB"/>
              </w:rPr>
              <w:t>Capacidade máxima de atendimento dos equipamentos</w:t>
            </w:r>
          </w:p>
          <w:p w14:paraId="1C66E019" w14:textId="77777777" w:rsidR="00C379D5" w:rsidRPr="00CC79AA" w:rsidRDefault="00C379D5" w:rsidP="009463AF">
            <w:pPr>
              <w:spacing w:after="0" w:line="240" w:lineRule="auto"/>
              <w:jc w:val="center"/>
              <w:rPr>
                <w:rFonts w:eastAsia="Times New Roman" w:cs="Arial"/>
                <w:bCs/>
                <w:lang w:eastAsia="en-GB"/>
              </w:rPr>
            </w:pPr>
            <w:r w:rsidRPr="00CC79AA">
              <w:rPr>
                <w:rFonts w:eastAsia="Times New Roman" w:cs="Arial"/>
                <w:bCs/>
                <w:lang w:eastAsia="en-GB"/>
              </w:rPr>
              <w:t>(Nº hab.)</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31AFD3D5" w14:textId="115FE6B5" w:rsidR="00C379D5" w:rsidRPr="00CC79AA" w:rsidRDefault="00C379D5" w:rsidP="009463AF">
            <w:pPr>
              <w:spacing w:after="0" w:line="240" w:lineRule="auto"/>
              <w:jc w:val="center"/>
              <w:rPr>
                <w:rFonts w:eastAsia="Times New Roman" w:cs="Arial"/>
                <w:bCs/>
                <w:lang w:val="en-GB" w:eastAsia="en-GB"/>
              </w:rPr>
            </w:pPr>
            <w:proofErr w:type="spellStart"/>
            <w:r w:rsidRPr="00CC79AA">
              <w:rPr>
                <w:rFonts w:eastAsia="Times New Roman" w:cs="Arial"/>
                <w:bCs/>
                <w:lang w:val="en-GB" w:eastAsia="en-GB"/>
              </w:rPr>
              <w:t>Potencial</w:t>
            </w:r>
            <w:proofErr w:type="spellEnd"/>
            <w:r w:rsidR="00CC79AA">
              <w:rPr>
                <w:rFonts w:eastAsia="Times New Roman" w:cs="Arial"/>
                <w:bCs/>
                <w:lang w:val="en-GB" w:eastAsia="en-GB"/>
              </w:rPr>
              <w:t xml:space="preserve"> de</w:t>
            </w:r>
            <w:r w:rsidRPr="00CC79AA">
              <w:rPr>
                <w:rFonts w:eastAsia="Times New Roman" w:cs="Arial"/>
                <w:bCs/>
                <w:lang w:val="en-GB" w:eastAsia="en-GB"/>
              </w:rPr>
              <w:t xml:space="preserve"> </w:t>
            </w:r>
            <w:proofErr w:type="spellStart"/>
            <w:r w:rsidRPr="00CC79AA">
              <w:rPr>
                <w:rFonts w:eastAsia="Times New Roman" w:cs="Arial"/>
                <w:bCs/>
                <w:lang w:val="en-GB" w:eastAsia="en-GB"/>
              </w:rPr>
              <w:t>população</w:t>
            </w:r>
            <w:proofErr w:type="spellEnd"/>
            <w:r w:rsidRPr="00CC79AA">
              <w:rPr>
                <w:rFonts w:eastAsia="Times New Roman" w:cs="Arial"/>
                <w:bCs/>
                <w:lang w:val="en-GB" w:eastAsia="en-GB"/>
              </w:rPr>
              <w:t xml:space="preserve"> </w:t>
            </w:r>
            <w:proofErr w:type="spellStart"/>
            <w:r w:rsidRPr="00CC79AA">
              <w:rPr>
                <w:rFonts w:eastAsia="Times New Roman" w:cs="Arial"/>
                <w:bCs/>
                <w:lang w:val="en-GB" w:eastAsia="en-GB"/>
              </w:rPr>
              <w:t>servida</w:t>
            </w:r>
            <w:proofErr w:type="spellEnd"/>
          </w:p>
          <w:p w14:paraId="415E676C"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w:t>
            </w:r>
          </w:p>
        </w:tc>
        <w:tc>
          <w:tcPr>
            <w:tcW w:w="1896" w:type="dxa"/>
            <w:gridSpan w:val="2"/>
            <w:tcBorders>
              <w:top w:val="single" w:sz="4" w:space="0" w:color="auto"/>
              <w:left w:val="nil"/>
              <w:bottom w:val="single" w:sz="4" w:space="0" w:color="auto"/>
              <w:right w:val="single" w:sz="4" w:space="0" w:color="auto"/>
            </w:tcBorders>
            <w:shd w:val="clear" w:color="auto" w:fill="auto"/>
            <w:vAlign w:val="center"/>
            <w:hideMark/>
          </w:tcPr>
          <w:p w14:paraId="5DB27A4A" w14:textId="77777777" w:rsidR="00C379D5" w:rsidRPr="00CC79AA" w:rsidRDefault="00C379D5" w:rsidP="009463AF">
            <w:pPr>
              <w:spacing w:after="0" w:line="240" w:lineRule="auto"/>
              <w:jc w:val="center"/>
              <w:rPr>
                <w:rFonts w:eastAsia="Times New Roman" w:cs="Arial"/>
                <w:bCs/>
                <w:lang w:eastAsia="en-GB"/>
              </w:rPr>
            </w:pPr>
            <w:r w:rsidRPr="00CC79AA">
              <w:rPr>
                <w:rFonts w:eastAsia="Times New Roman" w:cs="Arial"/>
                <w:bCs/>
                <w:lang w:eastAsia="en-GB"/>
              </w:rPr>
              <w:t>População servidas pelos equipamentos abertos até às 18h ou 20h</w:t>
            </w:r>
          </w:p>
          <w:p w14:paraId="230A63D8" w14:textId="77777777" w:rsidR="00C379D5" w:rsidRPr="00CC79AA" w:rsidRDefault="00C379D5" w:rsidP="009463AF">
            <w:pPr>
              <w:spacing w:after="0" w:line="240" w:lineRule="auto"/>
              <w:jc w:val="center"/>
              <w:rPr>
                <w:rFonts w:eastAsia="Times New Roman" w:cs="Arial"/>
                <w:bCs/>
                <w:lang w:eastAsia="en-GB"/>
              </w:rPr>
            </w:pPr>
            <w:r w:rsidRPr="00CC79AA">
              <w:rPr>
                <w:rFonts w:eastAsia="Times New Roman" w:cs="Arial"/>
                <w:bCs/>
                <w:lang w:eastAsia="en-GB"/>
              </w:rPr>
              <w:t>(%)</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60A50BB7" w14:textId="77777777" w:rsidR="00C379D5" w:rsidRPr="00CC79AA" w:rsidRDefault="00C379D5" w:rsidP="009463AF">
            <w:pPr>
              <w:spacing w:after="0" w:line="240" w:lineRule="auto"/>
              <w:jc w:val="center"/>
              <w:rPr>
                <w:rFonts w:eastAsia="Times New Roman" w:cs="Arial"/>
                <w:bCs/>
                <w:lang w:eastAsia="en-GB"/>
              </w:rPr>
            </w:pPr>
            <w:r w:rsidRPr="00CC79AA">
              <w:rPr>
                <w:rFonts w:eastAsia="Times New Roman" w:cs="Arial"/>
                <w:bCs/>
                <w:lang w:eastAsia="en-GB"/>
              </w:rPr>
              <w:t>População servidas pelos equipamentos abertos ao fim de semana / feriado até às 14h (%)</w:t>
            </w:r>
          </w:p>
        </w:tc>
      </w:tr>
      <w:tr w:rsidR="00C379D5" w:rsidRPr="00CC79AA" w14:paraId="49809569" w14:textId="77777777" w:rsidTr="00A76199">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65BE8AD6" w14:textId="7E80DE10" w:rsidR="00C379D5" w:rsidRPr="00CC79AA" w:rsidRDefault="00C379D5" w:rsidP="009463AF">
            <w:pPr>
              <w:spacing w:after="0" w:line="240" w:lineRule="auto"/>
              <w:jc w:val="left"/>
              <w:rPr>
                <w:rFonts w:eastAsia="Times New Roman" w:cs="Arial"/>
                <w:bCs/>
                <w:lang w:val="en-GB" w:eastAsia="en-GB"/>
              </w:rPr>
            </w:pPr>
            <w:r w:rsidRPr="00CC79AA">
              <w:rPr>
                <w:rFonts w:eastAsia="Times New Roman" w:cs="Arial"/>
                <w:bCs/>
                <w:lang w:val="en-GB" w:eastAsia="en-GB"/>
              </w:rPr>
              <w:t xml:space="preserve">Centro – </w:t>
            </w:r>
            <w:proofErr w:type="spellStart"/>
            <w:r w:rsidR="009463AF">
              <w:rPr>
                <w:rFonts w:eastAsia="Times New Roman" w:cs="Arial"/>
                <w:bCs/>
                <w:lang w:val="en-GB" w:eastAsia="en-GB"/>
              </w:rPr>
              <w:t>Cidade</w:t>
            </w:r>
            <w:proofErr w:type="spellEnd"/>
            <w:r w:rsidR="009463AF">
              <w:rPr>
                <w:rFonts w:eastAsia="Times New Roman" w:cs="Arial"/>
                <w:bCs/>
                <w:lang w:val="en-GB" w:eastAsia="en-GB"/>
              </w:rPr>
              <w:t xml:space="preserve"> de </w:t>
            </w:r>
            <w:proofErr w:type="spellStart"/>
            <w:r w:rsidRPr="00CC79AA">
              <w:rPr>
                <w:rFonts w:eastAsia="Times New Roman" w:cs="Arial"/>
                <w:bCs/>
                <w:lang w:val="en-GB" w:eastAsia="en-GB"/>
              </w:rPr>
              <w:t>Lisboa</w:t>
            </w:r>
            <w:proofErr w:type="spellEnd"/>
          </w:p>
        </w:tc>
        <w:tc>
          <w:tcPr>
            <w:tcW w:w="1474" w:type="dxa"/>
            <w:tcBorders>
              <w:top w:val="nil"/>
              <w:left w:val="nil"/>
              <w:bottom w:val="single" w:sz="4" w:space="0" w:color="auto"/>
              <w:right w:val="single" w:sz="4" w:space="0" w:color="auto"/>
            </w:tcBorders>
            <w:shd w:val="clear" w:color="auto" w:fill="auto"/>
            <w:vAlign w:val="center"/>
            <w:hideMark/>
          </w:tcPr>
          <w:p w14:paraId="59E10FD4"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515195</w:t>
            </w:r>
          </w:p>
        </w:tc>
        <w:tc>
          <w:tcPr>
            <w:tcW w:w="1191" w:type="dxa"/>
            <w:tcBorders>
              <w:top w:val="nil"/>
              <w:left w:val="nil"/>
              <w:bottom w:val="single" w:sz="4" w:space="0" w:color="auto"/>
              <w:right w:val="single" w:sz="4" w:space="0" w:color="auto"/>
            </w:tcBorders>
            <w:shd w:val="clear" w:color="auto" w:fill="auto"/>
            <w:vAlign w:val="center"/>
            <w:hideMark/>
          </w:tcPr>
          <w:p w14:paraId="2A291AEC"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101,8</w:t>
            </w:r>
          </w:p>
        </w:tc>
        <w:tc>
          <w:tcPr>
            <w:tcW w:w="1896" w:type="dxa"/>
            <w:gridSpan w:val="2"/>
            <w:tcBorders>
              <w:top w:val="nil"/>
              <w:left w:val="nil"/>
              <w:bottom w:val="single" w:sz="4" w:space="0" w:color="auto"/>
              <w:right w:val="single" w:sz="4" w:space="0" w:color="auto"/>
            </w:tcBorders>
            <w:shd w:val="clear" w:color="auto" w:fill="auto"/>
            <w:vAlign w:val="center"/>
            <w:hideMark/>
          </w:tcPr>
          <w:p w14:paraId="05FAA096"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87,9</w:t>
            </w:r>
          </w:p>
        </w:tc>
        <w:tc>
          <w:tcPr>
            <w:tcW w:w="1843" w:type="dxa"/>
            <w:gridSpan w:val="2"/>
            <w:tcBorders>
              <w:top w:val="nil"/>
              <w:left w:val="nil"/>
              <w:bottom w:val="single" w:sz="4" w:space="0" w:color="auto"/>
              <w:right w:val="single" w:sz="4" w:space="0" w:color="auto"/>
            </w:tcBorders>
            <w:shd w:val="clear" w:color="auto" w:fill="auto"/>
            <w:vAlign w:val="center"/>
            <w:hideMark/>
          </w:tcPr>
          <w:p w14:paraId="7AEF4D97"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63,6</w:t>
            </w:r>
          </w:p>
        </w:tc>
      </w:tr>
      <w:tr w:rsidR="00C379D5" w:rsidRPr="00CC79AA" w14:paraId="4DB8FD1D" w14:textId="77777777" w:rsidTr="00A76199">
        <w:trPr>
          <w:trHeight w:val="225"/>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64F0CB36" w14:textId="77777777" w:rsidR="00C379D5" w:rsidRPr="00CC79AA" w:rsidRDefault="00C379D5" w:rsidP="009463AF">
            <w:pPr>
              <w:spacing w:after="0" w:line="240" w:lineRule="auto"/>
              <w:jc w:val="left"/>
              <w:rPr>
                <w:rFonts w:eastAsia="Times New Roman" w:cs="Arial"/>
                <w:bCs/>
                <w:lang w:val="en-GB" w:eastAsia="en-GB"/>
              </w:rPr>
            </w:pPr>
            <w:proofErr w:type="spellStart"/>
            <w:r w:rsidRPr="00CC79AA">
              <w:rPr>
                <w:rFonts w:eastAsia="Times New Roman" w:cs="Arial"/>
                <w:bCs/>
                <w:lang w:val="en-GB" w:eastAsia="en-GB"/>
              </w:rPr>
              <w:t>Coroa</w:t>
            </w:r>
            <w:proofErr w:type="spellEnd"/>
            <w:r w:rsidRPr="00CC79AA">
              <w:rPr>
                <w:rFonts w:eastAsia="Times New Roman" w:cs="Arial"/>
                <w:bCs/>
                <w:lang w:val="en-GB" w:eastAsia="en-GB"/>
              </w:rPr>
              <w:t xml:space="preserve"> 1</w:t>
            </w:r>
          </w:p>
        </w:tc>
        <w:tc>
          <w:tcPr>
            <w:tcW w:w="1474" w:type="dxa"/>
            <w:tcBorders>
              <w:top w:val="nil"/>
              <w:left w:val="nil"/>
              <w:bottom w:val="single" w:sz="4" w:space="0" w:color="auto"/>
              <w:right w:val="single" w:sz="4" w:space="0" w:color="auto"/>
            </w:tcBorders>
            <w:shd w:val="clear" w:color="auto" w:fill="auto"/>
            <w:vAlign w:val="center"/>
            <w:hideMark/>
          </w:tcPr>
          <w:p w14:paraId="04B0D04E"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1061269</w:t>
            </w:r>
          </w:p>
        </w:tc>
        <w:tc>
          <w:tcPr>
            <w:tcW w:w="1191" w:type="dxa"/>
            <w:tcBorders>
              <w:top w:val="nil"/>
              <w:left w:val="nil"/>
              <w:bottom w:val="single" w:sz="4" w:space="0" w:color="auto"/>
              <w:right w:val="single" w:sz="4" w:space="0" w:color="auto"/>
            </w:tcBorders>
            <w:shd w:val="clear" w:color="auto" w:fill="auto"/>
            <w:vAlign w:val="center"/>
            <w:hideMark/>
          </w:tcPr>
          <w:p w14:paraId="0E33F337"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108,3</w:t>
            </w:r>
          </w:p>
        </w:tc>
        <w:tc>
          <w:tcPr>
            <w:tcW w:w="1896" w:type="dxa"/>
            <w:gridSpan w:val="2"/>
            <w:tcBorders>
              <w:top w:val="nil"/>
              <w:left w:val="nil"/>
              <w:bottom w:val="single" w:sz="4" w:space="0" w:color="auto"/>
              <w:right w:val="single" w:sz="4" w:space="0" w:color="auto"/>
            </w:tcBorders>
            <w:shd w:val="clear" w:color="auto" w:fill="auto"/>
            <w:vAlign w:val="center"/>
            <w:hideMark/>
          </w:tcPr>
          <w:p w14:paraId="7A064544"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95,5</w:t>
            </w:r>
          </w:p>
        </w:tc>
        <w:tc>
          <w:tcPr>
            <w:tcW w:w="1843" w:type="dxa"/>
            <w:gridSpan w:val="2"/>
            <w:tcBorders>
              <w:top w:val="nil"/>
              <w:left w:val="nil"/>
              <w:bottom w:val="single" w:sz="4" w:space="0" w:color="auto"/>
              <w:right w:val="single" w:sz="4" w:space="0" w:color="auto"/>
            </w:tcBorders>
            <w:shd w:val="clear" w:color="auto" w:fill="auto"/>
            <w:vAlign w:val="center"/>
            <w:hideMark/>
          </w:tcPr>
          <w:p w14:paraId="5D9C3C0F"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68,9</w:t>
            </w:r>
          </w:p>
        </w:tc>
      </w:tr>
      <w:tr w:rsidR="00C379D5" w:rsidRPr="00CC79AA" w14:paraId="78663D96" w14:textId="77777777" w:rsidTr="00A76199">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4CD3306E" w14:textId="77777777" w:rsidR="00C379D5" w:rsidRPr="00CC79AA" w:rsidRDefault="00C379D5" w:rsidP="009463AF">
            <w:pPr>
              <w:spacing w:after="0" w:line="240" w:lineRule="auto"/>
              <w:jc w:val="left"/>
              <w:rPr>
                <w:rFonts w:eastAsia="Times New Roman" w:cs="Arial"/>
                <w:bCs/>
                <w:lang w:val="en-GB" w:eastAsia="en-GB"/>
              </w:rPr>
            </w:pPr>
            <w:proofErr w:type="spellStart"/>
            <w:r w:rsidRPr="00CC79AA">
              <w:rPr>
                <w:rFonts w:eastAsia="Times New Roman" w:cs="Arial"/>
                <w:bCs/>
                <w:lang w:val="en-GB" w:eastAsia="en-GB"/>
              </w:rPr>
              <w:t>Coroa</w:t>
            </w:r>
            <w:proofErr w:type="spellEnd"/>
            <w:r w:rsidRPr="00CC79AA">
              <w:rPr>
                <w:rFonts w:eastAsia="Times New Roman" w:cs="Arial"/>
                <w:bCs/>
                <w:lang w:val="en-GB" w:eastAsia="en-GB"/>
              </w:rPr>
              <w:t xml:space="preserve"> 2</w:t>
            </w:r>
          </w:p>
        </w:tc>
        <w:tc>
          <w:tcPr>
            <w:tcW w:w="1474" w:type="dxa"/>
            <w:tcBorders>
              <w:top w:val="nil"/>
              <w:left w:val="nil"/>
              <w:bottom w:val="single" w:sz="4" w:space="0" w:color="auto"/>
              <w:right w:val="single" w:sz="4" w:space="0" w:color="auto"/>
            </w:tcBorders>
            <w:shd w:val="clear" w:color="auto" w:fill="auto"/>
            <w:vAlign w:val="center"/>
            <w:hideMark/>
          </w:tcPr>
          <w:p w14:paraId="5CF5BF34"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303294</w:t>
            </w:r>
          </w:p>
        </w:tc>
        <w:tc>
          <w:tcPr>
            <w:tcW w:w="1191" w:type="dxa"/>
            <w:tcBorders>
              <w:top w:val="nil"/>
              <w:left w:val="nil"/>
              <w:bottom w:val="single" w:sz="4" w:space="0" w:color="auto"/>
              <w:right w:val="single" w:sz="4" w:space="0" w:color="auto"/>
            </w:tcBorders>
            <w:shd w:val="clear" w:color="auto" w:fill="auto"/>
            <w:vAlign w:val="center"/>
            <w:hideMark/>
          </w:tcPr>
          <w:p w14:paraId="5AB52686"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110,7</w:t>
            </w:r>
          </w:p>
        </w:tc>
        <w:tc>
          <w:tcPr>
            <w:tcW w:w="1896" w:type="dxa"/>
            <w:gridSpan w:val="2"/>
            <w:tcBorders>
              <w:top w:val="nil"/>
              <w:left w:val="nil"/>
              <w:bottom w:val="single" w:sz="4" w:space="0" w:color="auto"/>
              <w:right w:val="single" w:sz="4" w:space="0" w:color="auto"/>
            </w:tcBorders>
            <w:shd w:val="clear" w:color="auto" w:fill="auto"/>
            <w:vAlign w:val="center"/>
            <w:hideMark/>
          </w:tcPr>
          <w:p w14:paraId="7293CD73"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40</w:t>
            </w:r>
          </w:p>
        </w:tc>
        <w:tc>
          <w:tcPr>
            <w:tcW w:w="1843" w:type="dxa"/>
            <w:gridSpan w:val="2"/>
            <w:tcBorders>
              <w:top w:val="nil"/>
              <w:left w:val="nil"/>
              <w:bottom w:val="single" w:sz="4" w:space="0" w:color="auto"/>
              <w:right w:val="single" w:sz="4" w:space="0" w:color="auto"/>
            </w:tcBorders>
            <w:shd w:val="clear" w:color="auto" w:fill="auto"/>
            <w:vAlign w:val="center"/>
            <w:hideMark/>
          </w:tcPr>
          <w:p w14:paraId="2B3DAEC3"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40</w:t>
            </w:r>
          </w:p>
        </w:tc>
      </w:tr>
      <w:tr w:rsidR="00C379D5" w:rsidRPr="00CC79AA" w14:paraId="5886191D" w14:textId="77777777" w:rsidTr="00A76199">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0555A007" w14:textId="77777777" w:rsidR="00C379D5" w:rsidRPr="00CC79AA" w:rsidRDefault="00C379D5" w:rsidP="009463AF">
            <w:pPr>
              <w:spacing w:after="0" w:line="240" w:lineRule="auto"/>
              <w:jc w:val="left"/>
              <w:rPr>
                <w:rFonts w:eastAsia="Times New Roman" w:cs="Arial"/>
                <w:bCs/>
                <w:lang w:val="en-GB" w:eastAsia="en-GB"/>
              </w:rPr>
            </w:pPr>
            <w:proofErr w:type="spellStart"/>
            <w:r w:rsidRPr="00CC79AA">
              <w:rPr>
                <w:rFonts w:eastAsia="Times New Roman" w:cs="Arial"/>
                <w:bCs/>
                <w:lang w:val="en-GB" w:eastAsia="en-GB"/>
              </w:rPr>
              <w:t>Coroa</w:t>
            </w:r>
            <w:proofErr w:type="spellEnd"/>
            <w:r w:rsidRPr="00CC79AA">
              <w:rPr>
                <w:rFonts w:eastAsia="Times New Roman" w:cs="Arial"/>
                <w:bCs/>
                <w:lang w:val="en-GB" w:eastAsia="en-GB"/>
              </w:rPr>
              <w:t xml:space="preserve"> 3</w:t>
            </w:r>
          </w:p>
        </w:tc>
        <w:tc>
          <w:tcPr>
            <w:tcW w:w="1474" w:type="dxa"/>
            <w:tcBorders>
              <w:top w:val="nil"/>
              <w:left w:val="nil"/>
              <w:bottom w:val="single" w:sz="4" w:space="0" w:color="auto"/>
              <w:right w:val="single" w:sz="4" w:space="0" w:color="auto"/>
            </w:tcBorders>
            <w:shd w:val="clear" w:color="auto" w:fill="auto"/>
            <w:vAlign w:val="center"/>
            <w:hideMark/>
          </w:tcPr>
          <w:p w14:paraId="40E8DBD3"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603262</w:t>
            </w:r>
          </w:p>
        </w:tc>
        <w:tc>
          <w:tcPr>
            <w:tcW w:w="1191" w:type="dxa"/>
            <w:tcBorders>
              <w:top w:val="nil"/>
              <w:left w:val="nil"/>
              <w:bottom w:val="single" w:sz="4" w:space="0" w:color="auto"/>
              <w:right w:val="single" w:sz="4" w:space="0" w:color="auto"/>
            </w:tcBorders>
            <w:shd w:val="clear" w:color="auto" w:fill="auto"/>
            <w:vAlign w:val="center"/>
            <w:hideMark/>
          </w:tcPr>
          <w:p w14:paraId="4045F8BB"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97,8</w:t>
            </w:r>
          </w:p>
        </w:tc>
        <w:tc>
          <w:tcPr>
            <w:tcW w:w="1896" w:type="dxa"/>
            <w:gridSpan w:val="2"/>
            <w:tcBorders>
              <w:top w:val="nil"/>
              <w:left w:val="nil"/>
              <w:bottom w:val="single" w:sz="4" w:space="0" w:color="auto"/>
              <w:right w:val="single" w:sz="4" w:space="0" w:color="auto"/>
            </w:tcBorders>
            <w:shd w:val="clear" w:color="auto" w:fill="auto"/>
            <w:vAlign w:val="center"/>
            <w:hideMark/>
          </w:tcPr>
          <w:p w14:paraId="5763F7EC"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90,5</w:t>
            </w:r>
          </w:p>
        </w:tc>
        <w:tc>
          <w:tcPr>
            <w:tcW w:w="1843" w:type="dxa"/>
            <w:gridSpan w:val="2"/>
            <w:tcBorders>
              <w:top w:val="nil"/>
              <w:left w:val="nil"/>
              <w:bottom w:val="single" w:sz="4" w:space="0" w:color="auto"/>
              <w:right w:val="single" w:sz="4" w:space="0" w:color="auto"/>
            </w:tcBorders>
            <w:shd w:val="clear" w:color="auto" w:fill="auto"/>
            <w:vAlign w:val="center"/>
            <w:hideMark/>
          </w:tcPr>
          <w:p w14:paraId="312AF858"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66,7</w:t>
            </w:r>
          </w:p>
        </w:tc>
      </w:tr>
      <w:tr w:rsidR="00C379D5" w:rsidRPr="00CC79AA" w14:paraId="0B8B536B" w14:textId="77777777" w:rsidTr="00A76199">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2B7E62E0" w14:textId="77777777" w:rsidR="00C379D5" w:rsidRPr="00CC79AA" w:rsidRDefault="00C379D5" w:rsidP="009463AF">
            <w:pPr>
              <w:spacing w:after="0" w:line="240" w:lineRule="auto"/>
              <w:jc w:val="left"/>
              <w:rPr>
                <w:rFonts w:eastAsia="Times New Roman" w:cs="Arial"/>
                <w:bCs/>
                <w:lang w:val="en-GB" w:eastAsia="en-GB"/>
              </w:rPr>
            </w:pPr>
            <w:proofErr w:type="spellStart"/>
            <w:r w:rsidRPr="00CC79AA">
              <w:rPr>
                <w:rFonts w:eastAsia="Times New Roman" w:cs="Arial"/>
                <w:bCs/>
                <w:lang w:val="en-GB" w:eastAsia="en-GB"/>
              </w:rPr>
              <w:t>Coroa</w:t>
            </w:r>
            <w:proofErr w:type="spellEnd"/>
            <w:r w:rsidRPr="00CC79AA">
              <w:rPr>
                <w:rFonts w:eastAsia="Times New Roman" w:cs="Arial"/>
                <w:bCs/>
                <w:lang w:val="en-GB" w:eastAsia="en-GB"/>
              </w:rPr>
              <w:t xml:space="preserve"> 4</w:t>
            </w:r>
          </w:p>
        </w:tc>
        <w:tc>
          <w:tcPr>
            <w:tcW w:w="1474" w:type="dxa"/>
            <w:tcBorders>
              <w:top w:val="nil"/>
              <w:left w:val="nil"/>
              <w:bottom w:val="single" w:sz="4" w:space="0" w:color="auto"/>
              <w:right w:val="single" w:sz="4" w:space="0" w:color="auto"/>
            </w:tcBorders>
            <w:shd w:val="clear" w:color="auto" w:fill="auto"/>
            <w:vAlign w:val="center"/>
            <w:hideMark/>
          </w:tcPr>
          <w:p w14:paraId="2AA3F016"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518066</w:t>
            </w:r>
          </w:p>
        </w:tc>
        <w:tc>
          <w:tcPr>
            <w:tcW w:w="1191" w:type="dxa"/>
            <w:tcBorders>
              <w:top w:val="nil"/>
              <w:left w:val="nil"/>
              <w:bottom w:val="single" w:sz="4" w:space="0" w:color="auto"/>
              <w:right w:val="single" w:sz="4" w:space="0" w:color="auto"/>
            </w:tcBorders>
            <w:shd w:val="clear" w:color="auto" w:fill="auto"/>
            <w:vAlign w:val="center"/>
            <w:hideMark/>
          </w:tcPr>
          <w:p w14:paraId="6E3E451F"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113,5</w:t>
            </w:r>
          </w:p>
        </w:tc>
        <w:tc>
          <w:tcPr>
            <w:tcW w:w="1896" w:type="dxa"/>
            <w:gridSpan w:val="2"/>
            <w:tcBorders>
              <w:top w:val="nil"/>
              <w:left w:val="nil"/>
              <w:bottom w:val="single" w:sz="4" w:space="0" w:color="auto"/>
              <w:right w:val="single" w:sz="4" w:space="0" w:color="auto"/>
            </w:tcBorders>
            <w:shd w:val="clear" w:color="auto" w:fill="auto"/>
            <w:vAlign w:val="center"/>
            <w:hideMark/>
          </w:tcPr>
          <w:p w14:paraId="65EE9AE3"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78,3</w:t>
            </w:r>
          </w:p>
        </w:tc>
        <w:tc>
          <w:tcPr>
            <w:tcW w:w="1843" w:type="dxa"/>
            <w:gridSpan w:val="2"/>
            <w:tcBorders>
              <w:top w:val="nil"/>
              <w:left w:val="nil"/>
              <w:bottom w:val="single" w:sz="4" w:space="0" w:color="auto"/>
              <w:right w:val="single" w:sz="4" w:space="0" w:color="auto"/>
            </w:tcBorders>
            <w:shd w:val="clear" w:color="auto" w:fill="auto"/>
            <w:vAlign w:val="center"/>
            <w:hideMark/>
          </w:tcPr>
          <w:p w14:paraId="0DB8F493" w14:textId="77777777" w:rsidR="00C379D5" w:rsidRPr="00CC79AA" w:rsidRDefault="00C379D5" w:rsidP="009463AF">
            <w:pPr>
              <w:spacing w:after="0" w:line="240" w:lineRule="auto"/>
              <w:jc w:val="center"/>
              <w:rPr>
                <w:rFonts w:eastAsia="Times New Roman" w:cs="Arial"/>
                <w:bCs/>
                <w:lang w:val="en-GB" w:eastAsia="en-GB"/>
              </w:rPr>
            </w:pPr>
            <w:r w:rsidRPr="00CC79AA">
              <w:rPr>
                <w:rFonts w:eastAsia="Times New Roman" w:cs="Arial"/>
                <w:bCs/>
                <w:lang w:val="en-GB" w:eastAsia="en-GB"/>
              </w:rPr>
              <w:t>68,1</w:t>
            </w:r>
          </w:p>
        </w:tc>
      </w:tr>
      <w:tr w:rsidR="00C379D5" w:rsidRPr="00CC79AA" w14:paraId="11044497" w14:textId="77777777" w:rsidTr="00A76199">
        <w:trPr>
          <w:trHeight w:val="20"/>
          <w:jc w:val="center"/>
        </w:trPr>
        <w:tc>
          <w:tcPr>
            <w:tcW w:w="2669" w:type="dxa"/>
            <w:tcBorders>
              <w:top w:val="nil"/>
              <w:left w:val="single" w:sz="4" w:space="0" w:color="auto"/>
              <w:bottom w:val="single" w:sz="4" w:space="0" w:color="auto"/>
              <w:right w:val="single" w:sz="4" w:space="0" w:color="auto"/>
            </w:tcBorders>
            <w:shd w:val="clear" w:color="auto" w:fill="auto"/>
            <w:vAlign w:val="center"/>
            <w:hideMark/>
          </w:tcPr>
          <w:p w14:paraId="7B0BE332" w14:textId="77777777" w:rsidR="00C379D5" w:rsidRPr="00CC79AA" w:rsidRDefault="00C379D5" w:rsidP="009463AF">
            <w:pPr>
              <w:spacing w:after="0" w:line="240" w:lineRule="auto"/>
              <w:jc w:val="left"/>
              <w:rPr>
                <w:rFonts w:eastAsia="Times New Roman" w:cs="Arial"/>
                <w:bCs/>
                <w:lang w:eastAsia="en-GB"/>
              </w:rPr>
            </w:pPr>
            <w:r w:rsidRPr="00CC79AA">
              <w:rPr>
                <w:rFonts w:eastAsia="Times New Roman" w:cs="Arial"/>
                <w:bCs/>
                <w:lang w:eastAsia="en-GB"/>
              </w:rPr>
              <w:t>Potencial de população que pode ser atendida</w:t>
            </w:r>
          </w:p>
        </w:tc>
        <w:tc>
          <w:tcPr>
            <w:tcW w:w="1474" w:type="dxa"/>
            <w:tcBorders>
              <w:top w:val="nil"/>
              <w:left w:val="nil"/>
              <w:bottom w:val="single" w:sz="4" w:space="0" w:color="auto"/>
              <w:right w:val="single" w:sz="4" w:space="0" w:color="auto"/>
            </w:tcBorders>
            <w:shd w:val="clear" w:color="auto" w:fill="auto"/>
            <w:vAlign w:val="center"/>
            <w:hideMark/>
          </w:tcPr>
          <w:p w14:paraId="1217DF44"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3001086</w:t>
            </w:r>
          </w:p>
        </w:tc>
        <w:tc>
          <w:tcPr>
            <w:tcW w:w="1191" w:type="dxa"/>
            <w:tcBorders>
              <w:top w:val="nil"/>
              <w:left w:val="nil"/>
              <w:bottom w:val="single" w:sz="4" w:space="0" w:color="auto"/>
              <w:right w:val="single" w:sz="4" w:space="0" w:color="auto"/>
            </w:tcBorders>
            <w:shd w:val="clear" w:color="auto" w:fill="auto"/>
            <w:vAlign w:val="center"/>
            <w:hideMark/>
          </w:tcPr>
          <w:p w14:paraId="38DCEEF9"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105,9</w:t>
            </w:r>
          </w:p>
        </w:tc>
        <w:tc>
          <w:tcPr>
            <w:tcW w:w="1896" w:type="dxa"/>
            <w:gridSpan w:val="2"/>
            <w:tcBorders>
              <w:top w:val="nil"/>
              <w:left w:val="nil"/>
              <w:bottom w:val="single" w:sz="4" w:space="0" w:color="auto"/>
              <w:right w:val="single" w:sz="4" w:space="0" w:color="auto"/>
            </w:tcBorders>
            <w:shd w:val="clear" w:color="auto" w:fill="auto"/>
            <w:vAlign w:val="center"/>
            <w:hideMark/>
          </w:tcPr>
          <w:p w14:paraId="0EC893F0"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88,4</w:t>
            </w:r>
          </w:p>
        </w:tc>
        <w:tc>
          <w:tcPr>
            <w:tcW w:w="1843" w:type="dxa"/>
            <w:gridSpan w:val="2"/>
            <w:tcBorders>
              <w:top w:val="nil"/>
              <w:left w:val="nil"/>
              <w:bottom w:val="single" w:sz="4" w:space="0" w:color="auto"/>
              <w:right w:val="single" w:sz="4" w:space="0" w:color="auto"/>
            </w:tcBorders>
            <w:shd w:val="clear" w:color="auto" w:fill="auto"/>
            <w:vAlign w:val="center"/>
            <w:hideMark/>
          </w:tcPr>
          <w:p w14:paraId="3FE00A9F" w14:textId="77777777" w:rsidR="00C379D5" w:rsidRPr="00CC79AA" w:rsidRDefault="00C379D5" w:rsidP="009463AF">
            <w:pPr>
              <w:spacing w:after="0" w:line="240" w:lineRule="auto"/>
              <w:jc w:val="center"/>
              <w:rPr>
                <w:rFonts w:eastAsia="Times New Roman" w:cs="Arial"/>
                <w:lang w:val="en-GB" w:eastAsia="en-GB"/>
              </w:rPr>
            </w:pPr>
            <w:r w:rsidRPr="00CC79AA">
              <w:rPr>
                <w:rFonts w:eastAsia="Times New Roman" w:cs="Arial"/>
                <w:lang w:val="en-GB" w:eastAsia="en-GB"/>
              </w:rPr>
              <w:t>78,4</w:t>
            </w:r>
          </w:p>
        </w:tc>
      </w:tr>
      <w:tr w:rsidR="00E1687E" w:rsidRPr="00CC79AA" w14:paraId="30E581BF" w14:textId="77777777" w:rsidTr="00A76199">
        <w:trPr>
          <w:trHeight w:val="20"/>
          <w:jc w:val="center"/>
        </w:trPr>
        <w:tc>
          <w:tcPr>
            <w:tcW w:w="2669" w:type="dxa"/>
            <w:tcBorders>
              <w:top w:val="single" w:sz="4" w:space="0" w:color="auto"/>
              <w:left w:val="single" w:sz="4" w:space="0" w:color="auto"/>
              <w:bottom w:val="single" w:sz="4" w:space="0" w:color="auto"/>
              <w:right w:val="single" w:sz="4" w:space="0" w:color="auto"/>
            </w:tcBorders>
            <w:shd w:val="clear" w:color="auto" w:fill="auto"/>
            <w:vAlign w:val="center"/>
          </w:tcPr>
          <w:p w14:paraId="6BC80BA0" w14:textId="02BE6761" w:rsidR="00C379D5" w:rsidRPr="00CC79AA" w:rsidRDefault="009463AF" w:rsidP="009463AF">
            <w:pPr>
              <w:spacing w:after="0" w:line="240" w:lineRule="auto"/>
              <w:jc w:val="left"/>
              <w:rPr>
                <w:rFonts w:eastAsia="Times New Roman" w:cs="Arial"/>
                <w:bCs/>
                <w:lang w:val="pt-BR" w:eastAsia="en-GB"/>
              </w:rPr>
            </w:pPr>
            <w:r>
              <w:rPr>
                <w:rFonts w:eastAsia="Times New Roman" w:cs="Arial"/>
                <w:bCs/>
                <w:lang w:val="pt-BR" w:eastAsia="en-GB"/>
              </w:rPr>
              <w:t>P</w:t>
            </w:r>
            <w:r w:rsidR="00C379D5" w:rsidRPr="00CC79AA">
              <w:rPr>
                <w:rFonts w:eastAsia="Times New Roman" w:cs="Arial"/>
                <w:bCs/>
                <w:lang w:val="pt-BR" w:eastAsia="en-GB"/>
              </w:rPr>
              <w:t xml:space="preserve">opulação </w:t>
            </w:r>
            <w:r>
              <w:rPr>
                <w:rFonts w:eastAsia="Times New Roman" w:cs="Arial"/>
                <w:bCs/>
                <w:lang w:val="pt-BR" w:eastAsia="en-GB"/>
              </w:rPr>
              <w:t xml:space="preserve">Total </w:t>
            </w:r>
            <w:r w:rsidR="00C379D5" w:rsidRPr="00CC79AA">
              <w:rPr>
                <w:rFonts w:eastAsia="Times New Roman" w:cs="Arial"/>
                <w:bCs/>
                <w:lang w:val="pt-BR" w:eastAsia="en-GB"/>
              </w:rPr>
              <w:t>AML</w:t>
            </w:r>
          </w:p>
        </w:tc>
        <w:tc>
          <w:tcPr>
            <w:tcW w:w="1474" w:type="dxa"/>
            <w:tcBorders>
              <w:top w:val="single" w:sz="4" w:space="0" w:color="auto"/>
              <w:left w:val="nil"/>
              <w:bottom w:val="single" w:sz="4" w:space="0" w:color="auto"/>
              <w:right w:val="single" w:sz="4" w:space="0" w:color="auto"/>
            </w:tcBorders>
            <w:shd w:val="clear" w:color="auto" w:fill="auto"/>
            <w:vAlign w:val="center"/>
          </w:tcPr>
          <w:p w14:paraId="7472F0DC" w14:textId="77777777" w:rsidR="00C379D5" w:rsidRPr="00CC79AA" w:rsidRDefault="00C379D5" w:rsidP="009463AF">
            <w:pPr>
              <w:spacing w:after="0" w:line="240" w:lineRule="auto"/>
              <w:jc w:val="center"/>
              <w:rPr>
                <w:rFonts w:eastAsia="Times New Roman" w:cs="Arial"/>
                <w:lang w:val="en-GB" w:eastAsia="en-GB"/>
              </w:rPr>
            </w:pPr>
            <w:r w:rsidRPr="00CC79AA">
              <w:rPr>
                <w:rFonts w:cs="Arial"/>
              </w:rPr>
              <w:t>2821876</w:t>
            </w:r>
          </w:p>
        </w:tc>
        <w:tc>
          <w:tcPr>
            <w:tcW w:w="1610" w:type="dxa"/>
            <w:gridSpan w:val="2"/>
            <w:tcBorders>
              <w:top w:val="single" w:sz="4" w:space="0" w:color="auto"/>
              <w:left w:val="nil"/>
              <w:bottom w:val="single" w:sz="4" w:space="0" w:color="auto"/>
            </w:tcBorders>
            <w:shd w:val="clear" w:color="auto" w:fill="auto"/>
            <w:vAlign w:val="center"/>
          </w:tcPr>
          <w:p w14:paraId="788F0BF3" w14:textId="77777777" w:rsidR="00C379D5" w:rsidRPr="00CC79AA" w:rsidRDefault="00C379D5" w:rsidP="009463AF">
            <w:pPr>
              <w:spacing w:after="0" w:line="240" w:lineRule="auto"/>
              <w:jc w:val="center"/>
              <w:rPr>
                <w:rFonts w:eastAsia="Times New Roman" w:cs="Arial"/>
                <w:lang w:val="en-GB" w:eastAsia="en-GB"/>
              </w:rPr>
            </w:pPr>
          </w:p>
        </w:tc>
        <w:tc>
          <w:tcPr>
            <w:tcW w:w="1610" w:type="dxa"/>
            <w:gridSpan w:val="2"/>
            <w:tcBorders>
              <w:top w:val="single" w:sz="4" w:space="0" w:color="auto"/>
              <w:left w:val="nil"/>
              <w:bottom w:val="single" w:sz="4" w:space="0" w:color="auto"/>
            </w:tcBorders>
            <w:shd w:val="clear" w:color="auto" w:fill="auto"/>
            <w:vAlign w:val="center"/>
          </w:tcPr>
          <w:p w14:paraId="22CA5600" w14:textId="77777777" w:rsidR="00C379D5" w:rsidRPr="00CC79AA" w:rsidRDefault="00C379D5" w:rsidP="009463AF">
            <w:pPr>
              <w:spacing w:after="0" w:line="240" w:lineRule="auto"/>
              <w:jc w:val="center"/>
              <w:rPr>
                <w:rFonts w:eastAsia="Times New Roman" w:cs="Arial"/>
                <w:lang w:val="en-GB" w:eastAsia="en-GB"/>
              </w:rPr>
            </w:pPr>
          </w:p>
        </w:tc>
        <w:tc>
          <w:tcPr>
            <w:tcW w:w="1710" w:type="dxa"/>
            <w:tcBorders>
              <w:top w:val="single" w:sz="4" w:space="0" w:color="auto"/>
              <w:left w:val="nil"/>
              <w:bottom w:val="single" w:sz="4" w:space="0" w:color="auto"/>
              <w:right w:val="single" w:sz="4" w:space="0" w:color="auto"/>
            </w:tcBorders>
            <w:shd w:val="clear" w:color="auto" w:fill="auto"/>
            <w:vAlign w:val="center"/>
          </w:tcPr>
          <w:p w14:paraId="4752070E" w14:textId="77777777" w:rsidR="00C379D5" w:rsidRPr="00CC79AA" w:rsidRDefault="00C379D5" w:rsidP="009463AF">
            <w:pPr>
              <w:spacing w:after="0" w:line="240" w:lineRule="auto"/>
              <w:jc w:val="center"/>
              <w:rPr>
                <w:rFonts w:eastAsia="Times New Roman" w:cs="Arial"/>
                <w:lang w:val="en-GB" w:eastAsia="en-GB"/>
              </w:rPr>
            </w:pPr>
          </w:p>
        </w:tc>
      </w:tr>
    </w:tbl>
    <w:p w14:paraId="5DD882F0" w14:textId="12AAD4AB" w:rsidR="00C379D5" w:rsidRPr="008401D4" w:rsidRDefault="00410C22" w:rsidP="009E5282">
      <w:pPr>
        <w:spacing w:after="0" w:line="240" w:lineRule="auto"/>
        <w:jc w:val="center"/>
      </w:pPr>
      <w:r>
        <w:t xml:space="preserve">Fonte: </w:t>
      </w:r>
      <w:r w:rsidR="009E5282">
        <w:t>Fonte: Elaboração própria a partir de SNS (2019) e</w:t>
      </w:r>
      <w:r>
        <w:t xml:space="preserve"> INE (2011)</w:t>
      </w:r>
    </w:p>
    <w:p w14:paraId="6657ED45" w14:textId="37C9F0A1" w:rsidR="004A3F74" w:rsidRDefault="006961CD" w:rsidP="002C3A93">
      <w:pPr>
        <w:spacing w:after="0"/>
        <w:ind w:firstLine="708"/>
        <w:rPr>
          <w:noProof/>
        </w:rPr>
      </w:pPr>
      <w:r w:rsidRPr="000568D9">
        <w:lastRenderedPageBreak/>
        <w:t>Relativamente à análise de acessibilidad</w:t>
      </w:r>
      <w:r w:rsidR="001C2731" w:rsidRPr="000568D9">
        <w:t>e</w:t>
      </w:r>
      <w:r w:rsidRPr="000568D9">
        <w:t xml:space="preserve"> potencial da população idosa que se desloca a pé a uma velocidade </w:t>
      </w:r>
      <w:r w:rsidR="009463AF">
        <w:t xml:space="preserve">de </w:t>
      </w:r>
      <w:r w:rsidRPr="000568D9">
        <w:t>3,5 km/</w:t>
      </w:r>
      <w:r w:rsidR="001C2731" w:rsidRPr="000568D9">
        <w:t>h, verifica-se que 30% da população encontra-se a menos de 15 minutos de um CSP, contudo a percentagem maior, 40%, verifica-se no intervalo de distância-tempo de 15 a 30 minutos.</w:t>
      </w:r>
      <w:r w:rsidR="00312C0A" w:rsidRPr="000568D9">
        <w:t xml:space="preserve"> É possível constatar que 99% da população idosa apresenta potencialidade de alcançar um serviço de CSP até 15 minutos </w:t>
      </w:r>
      <w:r w:rsidR="009463AF">
        <w:t xml:space="preserve">se utilizar </w:t>
      </w:r>
      <w:r w:rsidR="00641F33">
        <w:t>transporte individual</w:t>
      </w:r>
      <w:r w:rsidR="009463AF">
        <w:t>. P</w:t>
      </w:r>
      <w:r w:rsidR="00312C0A" w:rsidRPr="000568D9">
        <w:t>orém este modo de deslocação não está</w:t>
      </w:r>
      <w:r w:rsidR="001B4295" w:rsidRPr="000568D9">
        <w:t xml:space="preserve"> ao</w:t>
      </w:r>
      <w:r w:rsidR="00312C0A" w:rsidRPr="000568D9">
        <w:t xml:space="preserve"> alcance de toda a população, principalmente </w:t>
      </w:r>
      <w:r w:rsidR="00641F33">
        <w:t>à</w:t>
      </w:r>
      <w:r w:rsidR="009463AF">
        <w:t xml:space="preserve"> mais idosa, evidenciando-se desde já desigualdades no padrão.</w:t>
      </w:r>
    </w:p>
    <w:p w14:paraId="6C328F07" w14:textId="77777777" w:rsidR="00CC79AA" w:rsidRPr="002C3A93" w:rsidRDefault="00CC79AA" w:rsidP="002C3A93">
      <w:pPr>
        <w:spacing w:after="0"/>
        <w:ind w:firstLine="708"/>
        <w:rPr>
          <w:noProof/>
        </w:rPr>
      </w:pPr>
    </w:p>
    <w:p w14:paraId="0FC65191" w14:textId="77777777" w:rsidR="009463AF" w:rsidRDefault="009463AF" w:rsidP="002C3A93">
      <w:pPr>
        <w:pStyle w:val="Legenda"/>
        <w:keepNext/>
        <w:spacing w:after="0"/>
        <w:jc w:val="center"/>
        <w:rPr>
          <w:i w:val="0"/>
          <w:iCs w:val="0"/>
          <w:color w:val="auto"/>
          <w:sz w:val="22"/>
          <w:szCs w:val="22"/>
        </w:rPr>
      </w:pPr>
    </w:p>
    <w:p w14:paraId="484CFBC6" w14:textId="19CAAFC8" w:rsidR="00CC79AA" w:rsidRPr="00CC79AA" w:rsidRDefault="00CC79AA" w:rsidP="002C3A93">
      <w:pPr>
        <w:pStyle w:val="Legenda"/>
        <w:keepNext/>
        <w:spacing w:after="0"/>
        <w:jc w:val="center"/>
        <w:rPr>
          <w:i w:val="0"/>
          <w:iCs w:val="0"/>
          <w:color w:val="auto"/>
          <w:sz w:val="22"/>
          <w:szCs w:val="22"/>
        </w:rPr>
      </w:pPr>
      <w:r w:rsidRPr="00CC79AA">
        <w:rPr>
          <w:i w:val="0"/>
          <w:iCs w:val="0"/>
          <w:color w:val="auto"/>
          <w:sz w:val="22"/>
          <w:szCs w:val="22"/>
        </w:rPr>
        <w:t xml:space="preserve">Tabela </w:t>
      </w:r>
      <w:r w:rsidRPr="00CC79AA">
        <w:rPr>
          <w:i w:val="0"/>
          <w:iCs w:val="0"/>
          <w:color w:val="auto"/>
          <w:sz w:val="22"/>
          <w:szCs w:val="22"/>
        </w:rPr>
        <w:fldChar w:fldCharType="begin"/>
      </w:r>
      <w:r w:rsidRPr="00CC79AA">
        <w:rPr>
          <w:i w:val="0"/>
          <w:iCs w:val="0"/>
          <w:color w:val="auto"/>
          <w:sz w:val="22"/>
          <w:szCs w:val="22"/>
        </w:rPr>
        <w:instrText xml:space="preserve"> SEQ Tabela \* ARABIC </w:instrText>
      </w:r>
      <w:r w:rsidRPr="00CC79AA">
        <w:rPr>
          <w:i w:val="0"/>
          <w:iCs w:val="0"/>
          <w:color w:val="auto"/>
          <w:sz w:val="22"/>
          <w:szCs w:val="22"/>
        </w:rPr>
        <w:fldChar w:fldCharType="separate"/>
      </w:r>
      <w:r w:rsidR="00E1687E">
        <w:rPr>
          <w:i w:val="0"/>
          <w:iCs w:val="0"/>
          <w:noProof/>
          <w:color w:val="auto"/>
          <w:sz w:val="22"/>
          <w:szCs w:val="22"/>
        </w:rPr>
        <w:t>2</w:t>
      </w:r>
      <w:r w:rsidRPr="00CC79AA">
        <w:rPr>
          <w:i w:val="0"/>
          <w:iCs w:val="0"/>
          <w:color w:val="auto"/>
          <w:sz w:val="22"/>
          <w:szCs w:val="22"/>
        </w:rPr>
        <w:fldChar w:fldCharType="end"/>
      </w:r>
      <w:r w:rsidRPr="00CC79AA">
        <w:rPr>
          <w:i w:val="0"/>
          <w:iCs w:val="0"/>
          <w:color w:val="auto"/>
          <w:sz w:val="22"/>
          <w:szCs w:val="22"/>
        </w:rPr>
        <w:t xml:space="preserve"> - </w:t>
      </w:r>
      <w:r w:rsidRPr="00CC79AA">
        <w:rPr>
          <w:rFonts w:eastAsia="Times New Roman" w:cs="Times New Roman"/>
          <w:i w:val="0"/>
          <w:iCs w:val="0"/>
          <w:color w:val="auto"/>
          <w:sz w:val="22"/>
          <w:szCs w:val="22"/>
          <w:lang w:eastAsia="pt-PT"/>
        </w:rPr>
        <w:t>Acessibilidade (distância-tempo) da população por modo pedonal e rodoviário aos cuidados de saúde primários</w:t>
      </w:r>
      <w:r w:rsidR="00E1687E">
        <w:rPr>
          <w:rFonts w:eastAsia="Times New Roman" w:cs="Times New Roman"/>
          <w:i w:val="0"/>
          <w:iCs w:val="0"/>
          <w:color w:val="auto"/>
          <w:sz w:val="22"/>
          <w:szCs w:val="22"/>
          <w:lang w:eastAsia="pt-PT"/>
        </w:rPr>
        <w:t xml:space="preserve"> na AML</w:t>
      </w:r>
      <w:r w:rsidRPr="00CC79AA">
        <w:rPr>
          <w:rFonts w:eastAsia="Times New Roman" w:cs="Times New Roman"/>
          <w:i w:val="0"/>
          <w:iCs w:val="0"/>
          <w:color w:val="auto"/>
          <w:sz w:val="22"/>
          <w:szCs w:val="22"/>
          <w:lang w:eastAsia="pt-PT"/>
        </w:rPr>
        <w:t>, 2019</w:t>
      </w:r>
    </w:p>
    <w:tbl>
      <w:tblPr>
        <w:tblW w:w="6860" w:type="dxa"/>
        <w:jc w:val="center"/>
        <w:tblCellMar>
          <w:left w:w="70" w:type="dxa"/>
          <w:right w:w="70" w:type="dxa"/>
        </w:tblCellMar>
        <w:tblLook w:val="04A0" w:firstRow="1" w:lastRow="0" w:firstColumn="1" w:lastColumn="0" w:noHBand="0" w:noVBand="1"/>
      </w:tblPr>
      <w:tblGrid>
        <w:gridCol w:w="2324"/>
        <w:gridCol w:w="1134"/>
        <w:gridCol w:w="1134"/>
        <w:gridCol w:w="1134"/>
        <w:gridCol w:w="1134"/>
      </w:tblGrid>
      <w:tr w:rsidR="00410C22" w:rsidRPr="00410C22" w14:paraId="6C378B54" w14:textId="77777777" w:rsidTr="00CC79AA">
        <w:trPr>
          <w:trHeight w:val="283"/>
          <w:jc w:val="center"/>
        </w:trPr>
        <w:tc>
          <w:tcPr>
            <w:tcW w:w="2324" w:type="dxa"/>
            <w:vMerge w:val="restart"/>
            <w:tcBorders>
              <w:top w:val="single" w:sz="4" w:space="0" w:color="auto"/>
              <w:left w:val="single" w:sz="4" w:space="0" w:color="auto"/>
              <w:bottom w:val="single" w:sz="4" w:space="0" w:color="auto"/>
              <w:right w:val="single" w:sz="4" w:space="0" w:color="auto"/>
            </w:tcBorders>
            <w:vAlign w:val="center"/>
          </w:tcPr>
          <w:p w14:paraId="7C100ED4" w14:textId="798F1F34"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Tempo de deslocação</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14:paraId="0F15CB09" w14:textId="72450361"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Modo pedonal</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521AE106" w14:textId="365C03AF"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Modo rodoviário</w:t>
            </w:r>
          </w:p>
        </w:tc>
      </w:tr>
      <w:tr w:rsidR="00410C22" w:rsidRPr="00410C22" w14:paraId="06EB0E92" w14:textId="77777777" w:rsidTr="00410C22">
        <w:trPr>
          <w:trHeight w:val="340"/>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7C4AF09C" w14:textId="77777777" w:rsidR="00410C22" w:rsidRPr="009706E0" w:rsidRDefault="00410C22" w:rsidP="002C3A93">
            <w:pPr>
              <w:spacing w:after="0"/>
              <w:jc w:val="center"/>
              <w:rPr>
                <w:rFonts w:eastAsia="Times New Roman" w:cs="Arial"/>
                <w:color w:val="000000"/>
                <w:sz w:val="20"/>
                <w:szCs w:val="20"/>
                <w:lang w:eastAsia="pt-PT"/>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683A05E"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Vel. 3,5km/h</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6E3BCB16"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Vel. máx. trecho</w:t>
            </w:r>
          </w:p>
        </w:tc>
      </w:tr>
      <w:tr w:rsidR="00410C22" w:rsidRPr="00410C22" w14:paraId="0E4C44B1" w14:textId="77777777" w:rsidTr="00CC79AA">
        <w:trPr>
          <w:trHeight w:val="113"/>
          <w:jc w:val="center"/>
        </w:trPr>
        <w:tc>
          <w:tcPr>
            <w:tcW w:w="2324" w:type="dxa"/>
            <w:vMerge/>
            <w:tcBorders>
              <w:top w:val="single" w:sz="4" w:space="0" w:color="auto"/>
              <w:left w:val="single" w:sz="4" w:space="0" w:color="auto"/>
              <w:bottom w:val="single" w:sz="4" w:space="0" w:color="auto"/>
              <w:right w:val="single" w:sz="4" w:space="0" w:color="auto"/>
            </w:tcBorders>
            <w:vAlign w:val="center"/>
            <w:hideMark/>
          </w:tcPr>
          <w:p w14:paraId="029AA905" w14:textId="77777777" w:rsidR="00410C22" w:rsidRPr="009706E0" w:rsidRDefault="00410C22" w:rsidP="002C3A93">
            <w:pPr>
              <w:spacing w:after="0"/>
              <w:jc w:val="center"/>
              <w:rPr>
                <w:rFonts w:eastAsia="Times New Roman" w:cs="Arial"/>
                <w:color w:val="000000"/>
                <w:sz w:val="20"/>
                <w:szCs w:val="20"/>
                <w:lang w:eastAsia="pt-PT"/>
              </w:rPr>
            </w:pPr>
          </w:p>
        </w:tc>
        <w:tc>
          <w:tcPr>
            <w:tcW w:w="1134" w:type="dxa"/>
            <w:tcBorders>
              <w:top w:val="nil"/>
              <w:left w:val="nil"/>
              <w:bottom w:val="single" w:sz="4" w:space="0" w:color="auto"/>
              <w:right w:val="single" w:sz="4" w:space="0" w:color="auto"/>
            </w:tcBorders>
            <w:shd w:val="clear" w:color="auto" w:fill="auto"/>
            <w:noWrap/>
            <w:vAlign w:val="center"/>
            <w:hideMark/>
          </w:tcPr>
          <w:p w14:paraId="313F831F"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Nº</w:t>
            </w:r>
          </w:p>
        </w:tc>
        <w:tc>
          <w:tcPr>
            <w:tcW w:w="1134" w:type="dxa"/>
            <w:tcBorders>
              <w:top w:val="nil"/>
              <w:left w:val="nil"/>
              <w:bottom w:val="single" w:sz="4" w:space="0" w:color="auto"/>
              <w:right w:val="single" w:sz="4" w:space="0" w:color="auto"/>
            </w:tcBorders>
            <w:shd w:val="clear" w:color="auto" w:fill="auto"/>
            <w:noWrap/>
            <w:vAlign w:val="center"/>
            <w:hideMark/>
          </w:tcPr>
          <w:p w14:paraId="6C96175F"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w:t>
            </w:r>
          </w:p>
        </w:tc>
        <w:tc>
          <w:tcPr>
            <w:tcW w:w="1134" w:type="dxa"/>
            <w:tcBorders>
              <w:top w:val="nil"/>
              <w:left w:val="nil"/>
              <w:bottom w:val="single" w:sz="4" w:space="0" w:color="auto"/>
              <w:right w:val="single" w:sz="4" w:space="0" w:color="auto"/>
            </w:tcBorders>
            <w:shd w:val="clear" w:color="auto" w:fill="auto"/>
            <w:noWrap/>
            <w:vAlign w:val="center"/>
            <w:hideMark/>
          </w:tcPr>
          <w:p w14:paraId="5DE22D6D"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Nº</w:t>
            </w:r>
          </w:p>
        </w:tc>
        <w:tc>
          <w:tcPr>
            <w:tcW w:w="1134" w:type="dxa"/>
            <w:tcBorders>
              <w:top w:val="nil"/>
              <w:left w:val="nil"/>
              <w:bottom w:val="single" w:sz="4" w:space="0" w:color="auto"/>
              <w:right w:val="single" w:sz="4" w:space="0" w:color="auto"/>
            </w:tcBorders>
            <w:shd w:val="clear" w:color="auto" w:fill="auto"/>
            <w:noWrap/>
            <w:vAlign w:val="center"/>
            <w:hideMark/>
          </w:tcPr>
          <w:p w14:paraId="48F58716"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w:t>
            </w:r>
          </w:p>
        </w:tc>
      </w:tr>
      <w:tr w:rsidR="00410C22" w:rsidRPr="00410C22" w14:paraId="50230DB8" w14:textId="77777777" w:rsidTr="00410C22">
        <w:trPr>
          <w:trHeight w:val="340"/>
          <w:jc w:val="center"/>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1EF3EAC8"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&lt;15 min</w:t>
            </w:r>
          </w:p>
        </w:tc>
        <w:tc>
          <w:tcPr>
            <w:tcW w:w="1134" w:type="dxa"/>
            <w:tcBorders>
              <w:top w:val="nil"/>
              <w:left w:val="nil"/>
              <w:bottom w:val="single" w:sz="4" w:space="0" w:color="auto"/>
              <w:right w:val="single" w:sz="4" w:space="0" w:color="auto"/>
            </w:tcBorders>
            <w:shd w:val="clear" w:color="auto" w:fill="auto"/>
            <w:noWrap/>
            <w:vAlign w:val="center"/>
            <w:hideMark/>
          </w:tcPr>
          <w:p w14:paraId="4DCCD060"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154056</w:t>
            </w:r>
          </w:p>
        </w:tc>
        <w:tc>
          <w:tcPr>
            <w:tcW w:w="1134" w:type="dxa"/>
            <w:tcBorders>
              <w:top w:val="nil"/>
              <w:left w:val="nil"/>
              <w:bottom w:val="single" w:sz="4" w:space="0" w:color="auto"/>
              <w:right w:val="single" w:sz="4" w:space="0" w:color="auto"/>
            </w:tcBorders>
            <w:shd w:val="clear" w:color="auto" w:fill="auto"/>
            <w:noWrap/>
            <w:vAlign w:val="center"/>
            <w:hideMark/>
          </w:tcPr>
          <w:p w14:paraId="4562D867"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30%</w:t>
            </w:r>
          </w:p>
        </w:tc>
        <w:tc>
          <w:tcPr>
            <w:tcW w:w="1134" w:type="dxa"/>
            <w:tcBorders>
              <w:top w:val="nil"/>
              <w:left w:val="nil"/>
              <w:bottom w:val="single" w:sz="4" w:space="0" w:color="auto"/>
              <w:right w:val="single" w:sz="4" w:space="0" w:color="auto"/>
            </w:tcBorders>
            <w:shd w:val="clear" w:color="auto" w:fill="auto"/>
            <w:noWrap/>
            <w:vAlign w:val="center"/>
            <w:hideMark/>
          </w:tcPr>
          <w:p w14:paraId="326012E2"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509442</w:t>
            </w:r>
          </w:p>
        </w:tc>
        <w:tc>
          <w:tcPr>
            <w:tcW w:w="1134" w:type="dxa"/>
            <w:tcBorders>
              <w:top w:val="nil"/>
              <w:left w:val="nil"/>
              <w:bottom w:val="single" w:sz="4" w:space="0" w:color="auto"/>
              <w:right w:val="single" w:sz="4" w:space="0" w:color="auto"/>
            </w:tcBorders>
            <w:shd w:val="clear" w:color="auto" w:fill="auto"/>
            <w:noWrap/>
            <w:vAlign w:val="center"/>
            <w:hideMark/>
          </w:tcPr>
          <w:p w14:paraId="2AC12E89"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99%</w:t>
            </w:r>
          </w:p>
        </w:tc>
      </w:tr>
      <w:tr w:rsidR="00410C22" w:rsidRPr="00410C22" w14:paraId="22BB9617" w14:textId="77777777" w:rsidTr="00410C22">
        <w:trPr>
          <w:trHeight w:val="340"/>
          <w:jc w:val="center"/>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6BD21E6A"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[15-30]</w:t>
            </w:r>
          </w:p>
        </w:tc>
        <w:tc>
          <w:tcPr>
            <w:tcW w:w="1134" w:type="dxa"/>
            <w:tcBorders>
              <w:top w:val="nil"/>
              <w:left w:val="nil"/>
              <w:bottom w:val="single" w:sz="4" w:space="0" w:color="auto"/>
              <w:right w:val="single" w:sz="4" w:space="0" w:color="auto"/>
            </w:tcBorders>
            <w:shd w:val="clear" w:color="auto" w:fill="auto"/>
            <w:noWrap/>
            <w:vAlign w:val="center"/>
            <w:hideMark/>
          </w:tcPr>
          <w:p w14:paraId="220E2C4C"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206901</w:t>
            </w:r>
          </w:p>
        </w:tc>
        <w:tc>
          <w:tcPr>
            <w:tcW w:w="1134" w:type="dxa"/>
            <w:tcBorders>
              <w:top w:val="nil"/>
              <w:left w:val="nil"/>
              <w:bottom w:val="single" w:sz="4" w:space="0" w:color="auto"/>
              <w:right w:val="single" w:sz="4" w:space="0" w:color="auto"/>
            </w:tcBorders>
            <w:shd w:val="clear" w:color="auto" w:fill="auto"/>
            <w:noWrap/>
            <w:vAlign w:val="center"/>
            <w:hideMark/>
          </w:tcPr>
          <w:p w14:paraId="14C62A8A"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40%</w:t>
            </w:r>
          </w:p>
        </w:tc>
        <w:tc>
          <w:tcPr>
            <w:tcW w:w="1134" w:type="dxa"/>
            <w:tcBorders>
              <w:top w:val="nil"/>
              <w:left w:val="nil"/>
              <w:bottom w:val="single" w:sz="4" w:space="0" w:color="auto"/>
              <w:right w:val="single" w:sz="4" w:space="0" w:color="auto"/>
            </w:tcBorders>
            <w:shd w:val="clear" w:color="auto" w:fill="auto"/>
            <w:noWrap/>
            <w:vAlign w:val="center"/>
            <w:hideMark/>
          </w:tcPr>
          <w:p w14:paraId="4864DA7F"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601F1027"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w:t>
            </w:r>
          </w:p>
        </w:tc>
      </w:tr>
      <w:tr w:rsidR="00410C22" w:rsidRPr="00410C22" w14:paraId="40E79140" w14:textId="77777777" w:rsidTr="00410C22">
        <w:trPr>
          <w:trHeight w:val="340"/>
          <w:jc w:val="center"/>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1179B5BE"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[30-60]</w:t>
            </w:r>
          </w:p>
        </w:tc>
        <w:tc>
          <w:tcPr>
            <w:tcW w:w="1134" w:type="dxa"/>
            <w:tcBorders>
              <w:top w:val="nil"/>
              <w:left w:val="nil"/>
              <w:bottom w:val="single" w:sz="4" w:space="0" w:color="auto"/>
              <w:right w:val="single" w:sz="4" w:space="0" w:color="auto"/>
            </w:tcBorders>
            <w:shd w:val="clear" w:color="auto" w:fill="auto"/>
            <w:noWrap/>
            <w:vAlign w:val="center"/>
            <w:hideMark/>
          </w:tcPr>
          <w:p w14:paraId="4E59B739"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121059</w:t>
            </w:r>
          </w:p>
        </w:tc>
        <w:tc>
          <w:tcPr>
            <w:tcW w:w="1134" w:type="dxa"/>
            <w:tcBorders>
              <w:top w:val="nil"/>
              <w:left w:val="nil"/>
              <w:bottom w:val="single" w:sz="4" w:space="0" w:color="auto"/>
              <w:right w:val="single" w:sz="4" w:space="0" w:color="auto"/>
            </w:tcBorders>
            <w:shd w:val="clear" w:color="auto" w:fill="auto"/>
            <w:noWrap/>
            <w:vAlign w:val="center"/>
            <w:hideMark/>
          </w:tcPr>
          <w:p w14:paraId="62D6D3C8"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24%</w:t>
            </w:r>
          </w:p>
        </w:tc>
        <w:tc>
          <w:tcPr>
            <w:tcW w:w="1134" w:type="dxa"/>
            <w:tcBorders>
              <w:top w:val="nil"/>
              <w:left w:val="nil"/>
              <w:bottom w:val="single" w:sz="4" w:space="0" w:color="auto"/>
              <w:right w:val="single" w:sz="4" w:space="0" w:color="auto"/>
            </w:tcBorders>
            <w:shd w:val="clear" w:color="auto" w:fill="auto"/>
            <w:noWrap/>
            <w:vAlign w:val="center"/>
            <w:hideMark/>
          </w:tcPr>
          <w:p w14:paraId="6D9BC97F"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744</w:t>
            </w:r>
          </w:p>
        </w:tc>
        <w:tc>
          <w:tcPr>
            <w:tcW w:w="1134" w:type="dxa"/>
            <w:tcBorders>
              <w:top w:val="nil"/>
              <w:left w:val="nil"/>
              <w:bottom w:val="single" w:sz="4" w:space="0" w:color="auto"/>
              <w:right w:val="single" w:sz="4" w:space="0" w:color="auto"/>
            </w:tcBorders>
            <w:shd w:val="clear" w:color="auto" w:fill="auto"/>
            <w:noWrap/>
            <w:vAlign w:val="center"/>
            <w:hideMark/>
          </w:tcPr>
          <w:p w14:paraId="0C8E0F24"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0%</w:t>
            </w:r>
          </w:p>
        </w:tc>
      </w:tr>
      <w:tr w:rsidR="00410C22" w:rsidRPr="00410C22" w14:paraId="46A49E6B" w14:textId="77777777" w:rsidTr="00410C22">
        <w:trPr>
          <w:trHeight w:val="340"/>
          <w:jc w:val="center"/>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0EBC0E6F"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&gt;60</w:t>
            </w:r>
          </w:p>
        </w:tc>
        <w:tc>
          <w:tcPr>
            <w:tcW w:w="1134" w:type="dxa"/>
            <w:tcBorders>
              <w:top w:val="nil"/>
              <w:left w:val="nil"/>
              <w:bottom w:val="single" w:sz="4" w:space="0" w:color="auto"/>
              <w:right w:val="single" w:sz="4" w:space="0" w:color="auto"/>
            </w:tcBorders>
            <w:shd w:val="clear" w:color="auto" w:fill="auto"/>
            <w:noWrap/>
            <w:vAlign w:val="center"/>
            <w:hideMark/>
          </w:tcPr>
          <w:p w14:paraId="47034FAC"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31826</w:t>
            </w:r>
          </w:p>
        </w:tc>
        <w:tc>
          <w:tcPr>
            <w:tcW w:w="1134" w:type="dxa"/>
            <w:tcBorders>
              <w:top w:val="nil"/>
              <w:left w:val="nil"/>
              <w:bottom w:val="single" w:sz="4" w:space="0" w:color="auto"/>
              <w:right w:val="single" w:sz="4" w:space="0" w:color="auto"/>
            </w:tcBorders>
            <w:shd w:val="clear" w:color="auto" w:fill="auto"/>
            <w:noWrap/>
            <w:vAlign w:val="center"/>
            <w:hideMark/>
          </w:tcPr>
          <w:p w14:paraId="65144C5A"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6%</w:t>
            </w:r>
          </w:p>
        </w:tc>
        <w:tc>
          <w:tcPr>
            <w:tcW w:w="1134" w:type="dxa"/>
            <w:tcBorders>
              <w:top w:val="nil"/>
              <w:left w:val="nil"/>
              <w:bottom w:val="single" w:sz="4" w:space="0" w:color="auto"/>
              <w:right w:val="single" w:sz="4" w:space="0" w:color="auto"/>
            </w:tcBorders>
            <w:shd w:val="clear" w:color="auto" w:fill="auto"/>
            <w:noWrap/>
            <w:vAlign w:val="center"/>
            <w:hideMark/>
          </w:tcPr>
          <w:p w14:paraId="0F5B915E"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615</w:t>
            </w:r>
          </w:p>
        </w:tc>
        <w:tc>
          <w:tcPr>
            <w:tcW w:w="1134" w:type="dxa"/>
            <w:tcBorders>
              <w:top w:val="nil"/>
              <w:left w:val="nil"/>
              <w:bottom w:val="single" w:sz="4" w:space="0" w:color="auto"/>
              <w:right w:val="single" w:sz="4" w:space="0" w:color="auto"/>
            </w:tcBorders>
            <w:shd w:val="clear" w:color="auto" w:fill="auto"/>
            <w:noWrap/>
            <w:vAlign w:val="center"/>
            <w:hideMark/>
          </w:tcPr>
          <w:p w14:paraId="46E47D38"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0%</w:t>
            </w:r>
          </w:p>
        </w:tc>
      </w:tr>
      <w:tr w:rsidR="00410C22" w:rsidRPr="00410C22" w14:paraId="134DCC79" w14:textId="77777777" w:rsidTr="00CC79AA">
        <w:trPr>
          <w:trHeight w:val="114"/>
          <w:jc w:val="center"/>
        </w:trPr>
        <w:tc>
          <w:tcPr>
            <w:tcW w:w="2324" w:type="dxa"/>
            <w:tcBorders>
              <w:top w:val="nil"/>
              <w:left w:val="single" w:sz="4" w:space="0" w:color="auto"/>
              <w:bottom w:val="single" w:sz="4" w:space="0" w:color="auto"/>
              <w:right w:val="single" w:sz="4" w:space="0" w:color="auto"/>
            </w:tcBorders>
            <w:shd w:val="clear" w:color="auto" w:fill="auto"/>
            <w:noWrap/>
            <w:vAlign w:val="center"/>
            <w:hideMark/>
          </w:tcPr>
          <w:p w14:paraId="345E36E1"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Total</w:t>
            </w:r>
          </w:p>
        </w:tc>
        <w:tc>
          <w:tcPr>
            <w:tcW w:w="1134" w:type="dxa"/>
            <w:tcBorders>
              <w:top w:val="nil"/>
              <w:left w:val="nil"/>
              <w:bottom w:val="single" w:sz="4" w:space="0" w:color="auto"/>
              <w:right w:val="single" w:sz="4" w:space="0" w:color="auto"/>
            </w:tcBorders>
            <w:shd w:val="clear" w:color="auto" w:fill="auto"/>
            <w:noWrap/>
            <w:vAlign w:val="center"/>
            <w:hideMark/>
          </w:tcPr>
          <w:p w14:paraId="69E246E5"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513842</w:t>
            </w:r>
          </w:p>
        </w:tc>
        <w:tc>
          <w:tcPr>
            <w:tcW w:w="1134" w:type="dxa"/>
            <w:tcBorders>
              <w:top w:val="nil"/>
              <w:left w:val="nil"/>
              <w:bottom w:val="single" w:sz="4" w:space="0" w:color="auto"/>
              <w:right w:val="single" w:sz="4" w:space="0" w:color="auto"/>
            </w:tcBorders>
            <w:shd w:val="clear" w:color="auto" w:fill="auto"/>
            <w:noWrap/>
            <w:vAlign w:val="center"/>
            <w:hideMark/>
          </w:tcPr>
          <w:p w14:paraId="28C6AB77"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6898AA2"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513842</w:t>
            </w:r>
          </w:p>
        </w:tc>
        <w:tc>
          <w:tcPr>
            <w:tcW w:w="1134" w:type="dxa"/>
            <w:tcBorders>
              <w:top w:val="nil"/>
              <w:left w:val="nil"/>
              <w:bottom w:val="single" w:sz="4" w:space="0" w:color="auto"/>
              <w:right w:val="single" w:sz="4" w:space="0" w:color="auto"/>
            </w:tcBorders>
            <w:shd w:val="clear" w:color="auto" w:fill="auto"/>
            <w:noWrap/>
            <w:vAlign w:val="center"/>
            <w:hideMark/>
          </w:tcPr>
          <w:p w14:paraId="15986B01" w14:textId="77777777" w:rsidR="00410C22" w:rsidRPr="009706E0" w:rsidRDefault="00410C22" w:rsidP="002C3A93">
            <w:pPr>
              <w:spacing w:after="0"/>
              <w:jc w:val="center"/>
              <w:rPr>
                <w:rFonts w:eastAsia="Times New Roman" w:cs="Arial"/>
                <w:color w:val="000000"/>
                <w:sz w:val="20"/>
                <w:szCs w:val="20"/>
                <w:lang w:eastAsia="pt-PT"/>
              </w:rPr>
            </w:pPr>
            <w:r w:rsidRPr="009706E0">
              <w:rPr>
                <w:rFonts w:eastAsia="Times New Roman" w:cs="Arial"/>
                <w:color w:val="000000"/>
                <w:sz w:val="20"/>
                <w:szCs w:val="20"/>
                <w:lang w:eastAsia="pt-PT"/>
              </w:rPr>
              <w:t>100%</w:t>
            </w:r>
          </w:p>
        </w:tc>
      </w:tr>
    </w:tbl>
    <w:p w14:paraId="42C58A0E" w14:textId="7A472A51" w:rsidR="002C3A93" w:rsidRDefault="00CC79AA" w:rsidP="009E5282">
      <w:pPr>
        <w:spacing w:after="0" w:line="240" w:lineRule="auto"/>
        <w:jc w:val="center"/>
      </w:pPr>
      <w:r>
        <w:t xml:space="preserve">Fonte: </w:t>
      </w:r>
      <w:r w:rsidR="009E5282">
        <w:t>Fonte: Elaboração própria a partir de SNS (2019)</w:t>
      </w:r>
      <w:r>
        <w:t xml:space="preserve"> e INE (2011)</w:t>
      </w:r>
    </w:p>
    <w:p w14:paraId="635FE46E" w14:textId="77777777" w:rsidR="002C3A93" w:rsidRDefault="002C3A93" w:rsidP="002C3A93">
      <w:pPr>
        <w:spacing w:after="0"/>
        <w:ind w:firstLine="708"/>
      </w:pPr>
    </w:p>
    <w:p w14:paraId="5C5E9555" w14:textId="77777777" w:rsidR="009706E0" w:rsidRDefault="009706E0" w:rsidP="009706E0">
      <w:pPr>
        <w:spacing w:after="0"/>
        <w:ind w:firstLine="708"/>
      </w:pPr>
      <w:r w:rsidRPr="000568D9">
        <w:t>Após a análise da oferta</w:t>
      </w:r>
      <w:r>
        <w:t>,</w:t>
      </w:r>
      <w:r w:rsidRPr="000568D9">
        <w:t xml:space="preserve"> </w:t>
      </w:r>
      <w:r>
        <w:t>avaliamos agora a</w:t>
      </w:r>
      <w:r w:rsidRPr="000568D9">
        <w:t xml:space="preserve"> procura da população idosa aos serviços de saúde, tendo em conta os inquéritos realizados em diferentes contextos urbanos. </w:t>
      </w:r>
    </w:p>
    <w:p w14:paraId="3393D04C" w14:textId="77777777" w:rsidR="009706E0" w:rsidRPr="000568D9" w:rsidRDefault="009706E0" w:rsidP="009706E0">
      <w:pPr>
        <w:spacing w:after="0"/>
        <w:ind w:firstLine="708"/>
        <w:rPr>
          <w:u w:val="single"/>
        </w:rPr>
      </w:pPr>
      <w:r>
        <w:t>Na</w:t>
      </w:r>
      <w:r w:rsidRPr="000568D9">
        <w:t xml:space="preserve"> amostra adquirida observou-se um uma elevada representação dos idosos a residir sozinhos (53,9%) ou apenas com o cônjuge (23,5%)</w:t>
      </w:r>
      <w:r>
        <w:t>. E</w:t>
      </w:r>
      <w:r w:rsidRPr="000568D9">
        <w:t xml:space="preserve">sta tipologia de agregados familiares compostos </w:t>
      </w:r>
      <w:r w:rsidRPr="00DF2C24">
        <w:t>apenas por um elemento</w:t>
      </w:r>
      <w:r>
        <w:t>,</w:t>
      </w:r>
      <w:r w:rsidRPr="00DF2C24">
        <w:t xml:space="preserve"> explica a influência que têm nas classes que apresentam um baixo rendimento (menos de 500 euros/mês com um peso de 21,3% e entre os 500 e os 1000 euros/mês, escalão que representa 44,9% da amostra).</w:t>
      </w:r>
      <w:r w:rsidRPr="000568D9">
        <w:rPr>
          <w:u w:val="single"/>
        </w:rPr>
        <w:t xml:space="preserve"> </w:t>
      </w:r>
    </w:p>
    <w:p w14:paraId="48AAB519" w14:textId="77777777" w:rsidR="009706E0" w:rsidRDefault="009706E0" w:rsidP="009706E0">
      <w:pPr>
        <w:spacing w:after="0"/>
        <w:ind w:firstLine="708"/>
      </w:pPr>
      <w:r w:rsidRPr="000568D9">
        <w:t xml:space="preserve">Relativamente ao padrão de procura de serviços de saúde por parte dos idosos, verifica-se que quase metade (49,4%) procuram os serviços na freguesia de residência, enquanto que 21,3% revela que procura serviços noutras freguesias do município, 18% refere que procuram estes serviços noutros municípios fora da sua área de residência, </w:t>
      </w:r>
      <w:r>
        <w:t xml:space="preserve">e </w:t>
      </w:r>
      <w:r w:rsidRPr="000568D9">
        <w:t xml:space="preserve">os restantes inquiridos afirmam que procuram em várias localidades, não tendo um lugar, nem </w:t>
      </w:r>
      <w:r>
        <w:t>a fidelização a qualquer serviço.</w:t>
      </w:r>
      <w:r w:rsidRPr="000568D9">
        <w:t xml:space="preserve"> </w:t>
      </w:r>
    </w:p>
    <w:p w14:paraId="57F2507B" w14:textId="77777777" w:rsidR="009706E0" w:rsidRDefault="009706E0" w:rsidP="009706E0">
      <w:pPr>
        <w:spacing w:after="0"/>
        <w:ind w:firstLine="708"/>
      </w:pPr>
      <w:r>
        <w:t>A</w:t>
      </w:r>
      <w:r w:rsidRPr="000568D9">
        <w:t>o verificar qual o modo de transporte que os inquiridos utilizam para chegar a um serviço de saúde</w:t>
      </w:r>
      <w:r>
        <w:t xml:space="preserve">, verifica-se uma semelhança com </w:t>
      </w:r>
      <w:r w:rsidRPr="000568D9">
        <w:t>a análise de acessibilidade</w:t>
      </w:r>
      <w:r>
        <w:t xml:space="preserve">, comprovando que </w:t>
      </w:r>
      <w:r w:rsidRPr="000568D9">
        <w:t>35,2% nas deslocações</w:t>
      </w:r>
      <w:r>
        <w:t xml:space="preserve"> efetuadas a pé decorrem n</w:t>
      </w:r>
      <w:r w:rsidRPr="000568D9">
        <w:t>um tempo inferior a 15 minutos</w:t>
      </w:r>
      <w:r>
        <w:t xml:space="preserve"> </w:t>
      </w:r>
      <w:r w:rsidRPr="000568D9">
        <w:t xml:space="preserve">e 14,3% nas deslocações </w:t>
      </w:r>
      <w:r>
        <w:t>decorrem</w:t>
      </w:r>
      <w:r w:rsidRPr="000568D9">
        <w:t xml:space="preserve"> no intervalo de tempo entre 15 a 30 minutos.</w:t>
      </w:r>
      <w:r>
        <w:t xml:space="preserve"> </w:t>
      </w:r>
    </w:p>
    <w:p w14:paraId="7E1164EC" w14:textId="7BF5C498" w:rsidR="009463AF" w:rsidRDefault="009463AF" w:rsidP="002C3A93">
      <w:pPr>
        <w:spacing w:after="0"/>
        <w:ind w:firstLine="708"/>
      </w:pPr>
    </w:p>
    <w:p w14:paraId="2A20139D" w14:textId="0A795C33" w:rsidR="00163307" w:rsidRDefault="00CC79AA" w:rsidP="009706E0">
      <w:pPr>
        <w:spacing w:after="0"/>
        <w:ind w:firstLine="708"/>
        <w:jc w:val="center"/>
      </w:pPr>
      <w:r w:rsidRPr="00CC79AA">
        <w:lastRenderedPageBreak/>
        <w:t xml:space="preserve">Figura </w:t>
      </w:r>
      <w:r w:rsidR="0000375F">
        <w:fldChar w:fldCharType="begin"/>
      </w:r>
      <w:r w:rsidR="0000375F">
        <w:instrText xml:space="preserve"> SEQ Figura \* ARABIC </w:instrText>
      </w:r>
      <w:r w:rsidR="0000375F">
        <w:fldChar w:fldCharType="separate"/>
      </w:r>
      <w:r w:rsidRPr="00CC79AA">
        <w:rPr>
          <w:noProof/>
        </w:rPr>
        <w:t>3</w:t>
      </w:r>
      <w:r w:rsidR="0000375F">
        <w:rPr>
          <w:noProof/>
        </w:rPr>
        <w:fldChar w:fldCharType="end"/>
      </w:r>
      <w:r w:rsidRPr="00CC79AA">
        <w:t xml:space="preserve"> - </w:t>
      </w:r>
      <w:r w:rsidRPr="00CC79AA">
        <w:rPr>
          <w:rFonts w:eastAsia="Times New Roman" w:cs="Times New Roman"/>
          <w:lang w:eastAsia="pt-PT"/>
        </w:rPr>
        <w:t>Acessibilidade (distância-tempo) da população idosa por modo pedonal aos cuidados de saúde primários</w:t>
      </w:r>
      <w:r w:rsidR="00E1687E">
        <w:rPr>
          <w:rFonts w:eastAsia="Times New Roman" w:cs="Times New Roman"/>
          <w:lang w:eastAsia="pt-PT"/>
        </w:rPr>
        <w:t xml:space="preserve"> na AML</w:t>
      </w:r>
      <w:r w:rsidRPr="00CC79AA">
        <w:rPr>
          <w:rFonts w:eastAsia="Times New Roman" w:cs="Times New Roman"/>
          <w:lang w:eastAsia="pt-PT"/>
        </w:rPr>
        <w:t>, 2019</w:t>
      </w:r>
      <w:r w:rsidR="00163307">
        <w:rPr>
          <w:noProof/>
          <w:lang w:val="en-GB" w:eastAsia="en-GB"/>
        </w:rPr>
        <w:drawing>
          <wp:inline distT="0" distB="0" distL="0" distR="0" wp14:anchorId="200578CD" wp14:editId="4FF891B4">
            <wp:extent cx="4329817" cy="6058347"/>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012"/>
                    <a:stretch/>
                  </pic:blipFill>
                  <pic:spPr bwMode="auto">
                    <a:xfrm>
                      <a:off x="0" y="0"/>
                      <a:ext cx="4384477" cy="6134828"/>
                    </a:xfrm>
                    <a:prstGeom prst="rect">
                      <a:avLst/>
                    </a:prstGeom>
                    <a:noFill/>
                    <a:ln>
                      <a:noFill/>
                    </a:ln>
                    <a:extLst>
                      <a:ext uri="{53640926-AAD7-44D8-BBD7-CCE9431645EC}">
                        <a14:shadowObscured xmlns:a14="http://schemas.microsoft.com/office/drawing/2010/main"/>
                      </a:ext>
                    </a:extLst>
                  </pic:spPr>
                </pic:pic>
              </a:graphicData>
            </a:graphic>
          </wp:inline>
        </w:drawing>
      </w:r>
    </w:p>
    <w:p w14:paraId="0BDEF5FF" w14:textId="76B00F13" w:rsidR="00E1687E" w:rsidRPr="000568D9" w:rsidRDefault="00CC79AA" w:rsidP="00A76199">
      <w:pPr>
        <w:spacing w:after="0" w:line="240" w:lineRule="auto"/>
        <w:jc w:val="center"/>
      </w:pPr>
      <w:r>
        <w:t xml:space="preserve">Fonte: </w:t>
      </w:r>
      <w:r w:rsidR="009E5282">
        <w:t>Elaboração própria a partir de SNS</w:t>
      </w:r>
      <w:r w:rsidR="00E1687E">
        <w:t xml:space="preserve"> (2019)</w:t>
      </w:r>
      <w:r w:rsidR="009918F8">
        <w:t xml:space="preserve"> e INE (2011)</w:t>
      </w:r>
    </w:p>
    <w:p w14:paraId="61A6AB36" w14:textId="77777777" w:rsidR="009E5282" w:rsidRDefault="009E5282" w:rsidP="002C3A93">
      <w:pPr>
        <w:spacing w:after="0"/>
        <w:ind w:firstLine="708"/>
      </w:pPr>
    </w:p>
    <w:p w14:paraId="52EA15FB" w14:textId="2F4DF189" w:rsidR="00B15DDE" w:rsidRDefault="009463AF" w:rsidP="002C3A93">
      <w:pPr>
        <w:spacing w:after="0"/>
        <w:ind w:firstLine="708"/>
      </w:pPr>
      <w:r>
        <w:t xml:space="preserve">Contudo, apesar de se tratarem de </w:t>
      </w:r>
      <w:r w:rsidR="00265B9E" w:rsidRPr="000568D9">
        <w:t>serviços de proximidade</w:t>
      </w:r>
      <w:r>
        <w:t>, verificamos que</w:t>
      </w:r>
      <w:r w:rsidR="00265B9E" w:rsidRPr="000568D9">
        <w:t xml:space="preserve"> quase metade da procura (48,1%) usa o transporte individual para atingir um serviço de saúde</w:t>
      </w:r>
      <w:r>
        <w:t xml:space="preserve">, </w:t>
      </w:r>
      <w:r>
        <w:lastRenderedPageBreak/>
        <w:t xml:space="preserve">mesmo </w:t>
      </w:r>
      <w:r w:rsidR="00265B9E" w:rsidRPr="000568D9">
        <w:t xml:space="preserve">nas deslocações que apresentam um </w:t>
      </w:r>
      <w:r w:rsidR="00604453" w:rsidRPr="000568D9">
        <w:t>tempo inferior a 15 minutos</w:t>
      </w:r>
      <w:r>
        <w:t xml:space="preserve">. Verificamos ainda que </w:t>
      </w:r>
      <w:r w:rsidR="00604453" w:rsidRPr="000568D9">
        <w:t xml:space="preserve">28,6% dos idosos utiliza o transporte individual para deslocações entre 15 a 30 minutos e 33,3% para deslocações entre 30 e 60 minutos. </w:t>
      </w:r>
    </w:p>
    <w:p w14:paraId="49FF1B6D" w14:textId="77777777" w:rsidR="002C3A93" w:rsidRDefault="002C3A93" w:rsidP="002C3A93">
      <w:pPr>
        <w:spacing w:after="0"/>
        <w:ind w:firstLine="708"/>
      </w:pPr>
    </w:p>
    <w:p w14:paraId="377BF36E" w14:textId="7E415A16" w:rsidR="00E1687E" w:rsidRPr="00E1687E" w:rsidRDefault="00E1687E" w:rsidP="00A76199">
      <w:pPr>
        <w:pStyle w:val="Legenda"/>
        <w:keepNext/>
        <w:spacing w:after="0"/>
        <w:jc w:val="center"/>
        <w:rPr>
          <w:i w:val="0"/>
          <w:iCs w:val="0"/>
          <w:color w:val="auto"/>
          <w:sz w:val="22"/>
          <w:szCs w:val="22"/>
        </w:rPr>
      </w:pPr>
      <w:r w:rsidRPr="00E1687E">
        <w:rPr>
          <w:i w:val="0"/>
          <w:iCs w:val="0"/>
          <w:color w:val="auto"/>
          <w:sz w:val="22"/>
          <w:szCs w:val="22"/>
        </w:rPr>
        <w:t xml:space="preserve">Tabela </w:t>
      </w:r>
      <w:r w:rsidRPr="00E1687E">
        <w:rPr>
          <w:i w:val="0"/>
          <w:iCs w:val="0"/>
          <w:color w:val="auto"/>
          <w:sz w:val="22"/>
          <w:szCs w:val="22"/>
        </w:rPr>
        <w:fldChar w:fldCharType="begin"/>
      </w:r>
      <w:r w:rsidRPr="00E1687E">
        <w:rPr>
          <w:i w:val="0"/>
          <w:iCs w:val="0"/>
          <w:color w:val="auto"/>
          <w:sz w:val="22"/>
          <w:szCs w:val="22"/>
        </w:rPr>
        <w:instrText xml:space="preserve"> SEQ Tabela \* ARABIC </w:instrText>
      </w:r>
      <w:r w:rsidRPr="00E1687E">
        <w:rPr>
          <w:i w:val="0"/>
          <w:iCs w:val="0"/>
          <w:color w:val="auto"/>
          <w:sz w:val="22"/>
          <w:szCs w:val="22"/>
        </w:rPr>
        <w:fldChar w:fldCharType="separate"/>
      </w:r>
      <w:r w:rsidRPr="00E1687E">
        <w:rPr>
          <w:i w:val="0"/>
          <w:iCs w:val="0"/>
          <w:noProof/>
          <w:color w:val="auto"/>
          <w:sz w:val="22"/>
          <w:szCs w:val="22"/>
        </w:rPr>
        <w:t>3</w:t>
      </w:r>
      <w:r w:rsidRPr="00E1687E">
        <w:rPr>
          <w:i w:val="0"/>
          <w:iCs w:val="0"/>
          <w:color w:val="auto"/>
          <w:sz w:val="22"/>
          <w:szCs w:val="22"/>
        </w:rPr>
        <w:fldChar w:fldCharType="end"/>
      </w:r>
      <w:r w:rsidRPr="00E1687E">
        <w:rPr>
          <w:i w:val="0"/>
          <w:iCs w:val="0"/>
          <w:color w:val="auto"/>
          <w:sz w:val="22"/>
          <w:szCs w:val="22"/>
        </w:rPr>
        <w:t xml:space="preserve"> - Modo de transporte usado pela população idosa para aceder aos cuidados de saúde primários na AML, 2017</w:t>
      </w:r>
    </w:p>
    <w:tbl>
      <w:tblPr>
        <w:tblW w:w="8926" w:type="dxa"/>
        <w:tblLook w:val="04A0" w:firstRow="1" w:lastRow="0" w:firstColumn="1" w:lastColumn="0" w:noHBand="0" w:noVBand="1"/>
      </w:tblPr>
      <w:tblGrid>
        <w:gridCol w:w="2536"/>
        <w:gridCol w:w="1287"/>
        <w:gridCol w:w="1275"/>
        <w:gridCol w:w="1276"/>
        <w:gridCol w:w="1337"/>
        <w:gridCol w:w="1215"/>
      </w:tblGrid>
      <w:tr w:rsidR="00E1687E" w:rsidRPr="00287BF6" w14:paraId="3701D240" w14:textId="77777777" w:rsidTr="00E1687E">
        <w:trPr>
          <w:trHeight w:val="565"/>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61B9"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 xml:space="preserve">Modo de </w:t>
            </w:r>
            <w:proofErr w:type="spellStart"/>
            <w:r w:rsidRPr="00287BF6">
              <w:rPr>
                <w:rFonts w:eastAsia="Times New Roman" w:cs="Arial"/>
                <w:color w:val="000000"/>
                <w:lang w:val="en-GB" w:eastAsia="en-GB"/>
              </w:rPr>
              <w:t>transporte</w:t>
            </w:r>
            <w:proofErr w:type="spellEnd"/>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74A3C840"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≤15 min</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4A463B7B"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16-30 min</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0364BDD2"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31-60 min</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4AD2D67D" w14:textId="0AE6285A" w:rsidR="00E1687E" w:rsidRPr="00287BF6" w:rsidRDefault="00E1687E" w:rsidP="008E4F2C">
            <w:pPr>
              <w:spacing w:after="0"/>
              <w:contextualSpacing/>
              <w:jc w:val="center"/>
              <w:rPr>
                <w:rFonts w:eastAsia="Times New Roman" w:cs="Arial"/>
                <w:color w:val="000000"/>
                <w:lang w:val="en-GB" w:eastAsia="en-GB"/>
              </w:rPr>
            </w:pPr>
            <w:proofErr w:type="spellStart"/>
            <w:r w:rsidRPr="00287BF6">
              <w:rPr>
                <w:rFonts w:eastAsia="Times New Roman" w:cs="Arial"/>
                <w:color w:val="000000"/>
                <w:lang w:val="en-GB" w:eastAsia="en-GB"/>
              </w:rPr>
              <w:t>Não</w:t>
            </w:r>
            <w:proofErr w:type="spellEnd"/>
            <w:r w:rsidRPr="00287BF6">
              <w:rPr>
                <w:rFonts w:eastAsia="Times New Roman" w:cs="Arial"/>
                <w:color w:val="000000"/>
                <w:lang w:val="en-GB" w:eastAsia="en-GB"/>
              </w:rPr>
              <w:t xml:space="preserve"> </w:t>
            </w:r>
            <w:proofErr w:type="spellStart"/>
            <w:r w:rsidRPr="00287BF6">
              <w:rPr>
                <w:rFonts w:eastAsia="Times New Roman" w:cs="Arial"/>
                <w:color w:val="000000"/>
                <w:lang w:val="en-GB" w:eastAsia="en-GB"/>
              </w:rPr>
              <w:t>respo</w:t>
            </w:r>
            <w:r w:rsidR="008E4F2C">
              <w:rPr>
                <w:rFonts w:eastAsia="Times New Roman" w:cs="Arial"/>
                <w:color w:val="000000"/>
                <w:lang w:val="en-GB" w:eastAsia="en-GB"/>
              </w:rPr>
              <w:t>sta</w:t>
            </w:r>
            <w:proofErr w:type="spellEnd"/>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157B51E7"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Total</w:t>
            </w:r>
          </w:p>
        </w:tc>
      </w:tr>
      <w:tr w:rsidR="00E1687E" w:rsidRPr="00287BF6" w14:paraId="7CDC4783" w14:textId="77777777" w:rsidTr="00E1687E">
        <w:trPr>
          <w:trHeight w:val="349"/>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BB817" w14:textId="72C20B3C" w:rsidR="00E1687E" w:rsidRPr="008E4F2C" w:rsidRDefault="00E1687E" w:rsidP="00A76199">
            <w:pPr>
              <w:spacing w:after="0"/>
              <w:contextualSpacing/>
              <w:jc w:val="center"/>
              <w:rPr>
                <w:rFonts w:eastAsia="Times New Roman" w:cs="Arial"/>
                <w:color w:val="000000"/>
                <w:lang w:eastAsia="en-GB"/>
              </w:rPr>
            </w:pPr>
            <w:r w:rsidRPr="008E4F2C">
              <w:rPr>
                <w:rFonts w:eastAsia="Times New Roman" w:cs="Arial"/>
                <w:color w:val="000000"/>
                <w:lang w:eastAsia="en-GB"/>
              </w:rPr>
              <w:t>Transporte individual</w:t>
            </w:r>
            <w:r w:rsidR="008E4F2C" w:rsidRPr="008E4F2C">
              <w:rPr>
                <w:rFonts w:eastAsia="Times New Roman" w:cs="Arial"/>
                <w:color w:val="000000"/>
                <w:lang w:eastAsia="en-GB"/>
              </w:rPr>
              <w:t xml:space="preserve"> (automóvel ou mota</w:t>
            </w:r>
            <w:r w:rsidR="008E4F2C">
              <w:rPr>
                <w:rFonts w:eastAsia="Times New Roman" w:cs="Arial"/>
                <w:color w:val="000000"/>
                <w:lang w:eastAsia="en-GB"/>
              </w:rPr>
              <w:t>)</w:t>
            </w:r>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7D023832"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48,1</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5932E14E"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28,6</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0FFA5304"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33,3</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114F8697"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12,5</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32EB02EF"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39,3</w:t>
            </w:r>
          </w:p>
        </w:tc>
      </w:tr>
      <w:tr w:rsidR="00E1687E" w:rsidRPr="00287BF6" w14:paraId="63AF24E9" w14:textId="77777777" w:rsidTr="00E1687E">
        <w:trPr>
          <w:trHeight w:val="284"/>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071BD" w14:textId="77777777" w:rsidR="00E1687E" w:rsidRPr="00287BF6" w:rsidRDefault="00E1687E" w:rsidP="00A76199">
            <w:pPr>
              <w:spacing w:after="0"/>
              <w:contextualSpacing/>
              <w:jc w:val="center"/>
              <w:rPr>
                <w:rFonts w:eastAsia="Times New Roman" w:cs="Arial"/>
                <w:color w:val="000000"/>
                <w:lang w:val="en-GB" w:eastAsia="en-GB"/>
              </w:rPr>
            </w:pPr>
            <w:proofErr w:type="spellStart"/>
            <w:r w:rsidRPr="00287BF6">
              <w:rPr>
                <w:rFonts w:eastAsia="Times New Roman" w:cs="Arial"/>
                <w:color w:val="000000"/>
                <w:lang w:val="en-GB" w:eastAsia="en-GB"/>
              </w:rPr>
              <w:t>Transporte</w:t>
            </w:r>
            <w:proofErr w:type="spellEnd"/>
            <w:r w:rsidRPr="00287BF6">
              <w:rPr>
                <w:rFonts w:eastAsia="Times New Roman" w:cs="Arial"/>
                <w:color w:val="000000"/>
                <w:lang w:val="en-GB" w:eastAsia="en-GB"/>
              </w:rPr>
              <w:t xml:space="preserve"> </w:t>
            </w:r>
            <w:proofErr w:type="spellStart"/>
            <w:r w:rsidRPr="00287BF6">
              <w:rPr>
                <w:rFonts w:eastAsia="Times New Roman" w:cs="Arial"/>
                <w:color w:val="000000"/>
                <w:lang w:val="en-GB" w:eastAsia="en-GB"/>
              </w:rPr>
              <w:t>coletivo</w:t>
            </w:r>
            <w:proofErr w:type="spellEnd"/>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710830F4"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7,4</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624B03EA"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47,6</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2E20AD6"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33,3</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64C6A3FC"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338DD849"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18</w:t>
            </w:r>
          </w:p>
        </w:tc>
      </w:tr>
      <w:tr w:rsidR="00E1687E" w:rsidRPr="00287BF6" w14:paraId="0A2B889C" w14:textId="77777777" w:rsidTr="00E1687E">
        <w:trPr>
          <w:trHeight w:val="274"/>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7E7EB" w14:textId="322E9889" w:rsidR="00E1687E" w:rsidRPr="008E4F2C" w:rsidRDefault="00E1687E" w:rsidP="00A76199">
            <w:pPr>
              <w:spacing w:after="0"/>
              <w:contextualSpacing/>
              <w:jc w:val="center"/>
              <w:rPr>
                <w:rFonts w:eastAsia="Times New Roman" w:cs="Arial"/>
                <w:color w:val="000000"/>
                <w:lang w:eastAsia="en-GB"/>
              </w:rPr>
            </w:pPr>
            <w:r w:rsidRPr="008E4F2C">
              <w:rPr>
                <w:rFonts w:eastAsia="Times New Roman" w:cs="Arial"/>
                <w:color w:val="000000"/>
                <w:lang w:eastAsia="en-GB"/>
              </w:rPr>
              <w:t>Modos suaves</w:t>
            </w:r>
            <w:r w:rsidR="008E4F2C" w:rsidRPr="008E4F2C">
              <w:rPr>
                <w:rFonts w:eastAsia="Times New Roman" w:cs="Arial"/>
                <w:color w:val="000000"/>
                <w:lang w:eastAsia="en-GB"/>
              </w:rPr>
              <w:t xml:space="preserve"> (a pé ou bicicleta</w:t>
            </w:r>
            <w:r w:rsidR="008E4F2C">
              <w:rPr>
                <w:rFonts w:eastAsia="Times New Roman" w:cs="Arial"/>
                <w:color w:val="000000"/>
                <w:lang w:eastAsia="en-GB"/>
              </w:rPr>
              <w:t>)</w:t>
            </w:r>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02F90415"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35,2</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261E47B6"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14,3</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72B1DFCB"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2CE354F3"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283EBED4"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24,7</w:t>
            </w:r>
          </w:p>
        </w:tc>
      </w:tr>
      <w:tr w:rsidR="00E1687E" w:rsidRPr="00287BF6" w14:paraId="0F615A75" w14:textId="77777777" w:rsidTr="00E1687E">
        <w:trPr>
          <w:trHeight w:val="265"/>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487FD" w14:textId="77777777" w:rsidR="00E1687E" w:rsidRPr="00287BF6" w:rsidRDefault="00E1687E" w:rsidP="00A76199">
            <w:pPr>
              <w:spacing w:after="0"/>
              <w:contextualSpacing/>
              <w:jc w:val="center"/>
              <w:rPr>
                <w:rFonts w:eastAsia="Times New Roman" w:cs="Arial"/>
                <w:color w:val="000000"/>
                <w:lang w:eastAsia="en-GB"/>
              </w:rPr>
            </w:pPr>
            <w:r w:rsidRPr="00287BF6">
              <w:rPr>
                <w:rFonts w:eastAsia="Times New Roman" w:cs="Arial"/>
                <w:color w:val="000000"/>
                <w:lang w:eastAsia="en-GB"/>
              </w:rPr>
              <w:t>Combinação de modos</w:t>
            </w:r>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6B81BB0A"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9,3</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6AF16F6F"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9,5</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4B4CD874"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33,3</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5E18BFF7"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12,5</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76896129"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11,2</w:t>
            </w:r>
          </w:p>
        </w:tc>
      </w:tr>
      <w:tr w:rsidR="00E1687E" w:rsidRPr="00287BF6" w14:paraId="4A88CA74" w14:textId="77777777" w:rsidTr="00E1687E">
        <w:trPr>
          <w:trHeight w:val="285"/>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7F806" w14:textId="7CE12F97" w:rsidR="00E1687E" w:rsidRPr="00287BF6" w:rsidRDefault="00E1687E" w:rsidP="002D1C9D">
            <w:pPr>
              <w:spacing w:after="0"/>
              <w:contextualSpacing/>
              <w:jc w:val="center"/>
              <w:rPr>
                <w:rFonts w:eastAsia="Times New Roman" w:cs="Arial"/>
                <w:color w:val="000000"/>
                <w:lang w:val="en-GB" w:eastAsia="en-GB"/>
              </w:rPr>
            </w:pPr>
            <w:proofErr w:type="spellStart"/>
            <w:r w:rsidRPr="00287BF6">
              <w:rPr>
                <w:rFonts w:eastAsia="Times New Roman" w:cs="Arial"/>
                <w:color w:val="000000"/>
                <w:lang w:val="en-GB" w:eastAsia="en-GB"/>
              </w:rPr>
              <w:t>Não</w:t>
            </w:r>
            <w:proofErr w:type="spellEnd"/>
            <w:r w:rsidRPr="00287BF6">
              <w:rPr>
                <w:rFonts w:eastAsia="Times New Roman" w:cs="Arial"/>
                <w:color w:val="000000"/>
                <w:lang w:val="en-GB" w:eastAsia="en-GB"/>
              </w:rPr>
              <w:t xml:space="preserve"> </w:t>
            </w:r>
            <w:proofErr w:type="spellStart"/>
            <w:r w:rsidRPr="00287BF6">
              <w:rPr>
                <w:rFonts w:eastAsia="Times New Roman" w:cs="Arial"/>
                <w:color w:val="000000"/>
                <w:lang w:val="en-GB" w:eastAsia="en-GB"/>
              </w:rPr>
              <w:t>respo</w:t>
            </w:r>
            <w:r w:rsidR="002D1C9D">
              <w:rPr>
                <w:rFonts w:eastAsia="Times New Roman" w:cs="Arial"/>
                <w:color w:val="000000"/>
                <w:lang w:val="en-GB" w:eastAsia="en-GB"/>
              </w:rPr>
              <w:t>sta</w:t>
            </w:r>
            <w:proofErr w:type="spellEnd"/>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0C52B687"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5C31234C"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6423F4AC"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0,0</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526E510F"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75</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6D289FD6"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6,7</w:t>
            </w:r>
          </w:p>
        </w:tc>
      </w:tr>
      <w:tr w:rsidR="00E1687E" w:rsidRPr="00287BF6" w14:paraId="67A430EA" w14:textId="77777777" w:rsidTr="00E1687E">
        <w:trPr>
          <w:trHeight w:val="257"/>
        </w:trPr>
        <w:tc>
          <w:tcPr>
            <w:tcW w:w="2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BABC3" w14:textId="087AD18F" w:rsidR="00E1687E" w:rsidRPr="00287BF6" w:rsidRDefault="00E1687E" w:rsidP="00A76199">
            <w:pPr>
              <w:spacing w:after="0"/>
              <w:contextualSpacing/>
              <w:jc w:val="center"/>
              <w:rPr>
                <w:rFonts w:eastAsia="Times New Roman" w:cs="Arial"/>
                <w:color w:val="000000"/>
                <w:lang w:val="en-GB" w:eastAsia="en-GB"/>
              </w:rPr>
            </w:pPr>
            <w:r w:rsidRPr="00287BF6">
              <w:rPr>
                <w:rFonts w:eastAsia="Times New Roman" w:cs="Arial"/>
                <w:color w:val="000000"/>
                <w:lang w:val="en-GB" w:eastAsia="en-GB"/>
              </w:rPr>
              <w:t>Total</w:t>
            </w:r>
          </w:p>
        </w:tc>
        <w:tc>
          <w:tcPr>
            <w:tcW w:w="1287" w:type="dxa"/>
            <w:tcBorders>
              <w:top w:val="single" w:sz="4" w:space="0" w:color="auto"/>
              <w:left w:val="nil"/>
              <w:bottom w:val="single" w:sz="4" w:space="0" w:color="auto"/>
              <w:right w:val="single" w:sz="4" w:space="0" w:color="000000"/>
            </w:tcBorders>
            <w:shd w:val="clear" w:color="auto" w:fill="auto"/>
            <w:noWrap/>
            <w:vAlign w:val="center"/>
            <w:hideMark/>
          </w:tcPr>
          <w:p w14:paraId="2C896010"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100</w:t>
            </w:r>
          </w:p>
        </w:tc>
        <w:tc>
          <w:tcPr>
            <w:tcW w:w="1275" w:type="dxa"/>
            <w:tcBorders>
              <w:top w:val="single" w:sz="4" w:space="0" w:color="auto"/>
              <w:left w:val="nil"/>
              <w:bottom w:val="single" w:sz="4" w:space="0" w:color="auto"/>
              <w:right w:val="single" w:sz="4" w:space="0" w:color="000000"/>
            </w:tcBorders>
            <w:shd w:val="clear" w:color="auto" w:fill="auto"/>
            <w:noWrap/>
            <w:vAlign w:val="center"/>
            <w:hideMark/>
          </w:tcPr>
          <w:p w14:paraId="2D3701FB"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100</w:t>
            </w:r>
          </w:p>
        </w:tc>
        <w:tc>
          <w:tcPr>
            <w:tcW w:w="1276" w:type="dxa"/>
            <w:tcBorders>
              <w:top w:val="single" w:sz="4" w:space="0" w:color="auto"/>
              <w:left w:val="nil"/>
              <w:bottom w:val="single" w:sz="4" w:space="0" w:color="auto"/>
              <w:right w:val="single" w:sz="4" w:space="0" w:color="000000"/>
            </w:tcBorders>
            <w:shd w:val="clear" w:color="auto" w:fill="auto"/>
            <w:noWrap/>
            <w:vAlign w:val="center"/>
            <w:hideMark/>
          </w:tcPr>
          <w:p w14:paraId="3253CE8E"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100</w:t>
            </w:r>
          </w:p>
        </w:tc>
        <w:tc>
          <w:tcPr>
            <w:tcW w:w="1337" w:type="dxa"/>
            <w:tcBorders>
              <w:top w:val="single" w:sz="4" w:space="0" w:color="auto"/>
              <w:left w:val="nil"/>
              <w:bottom w:val="single" w:sz="4" w:space="0" w:color="auto"/>
              <w:right w:val="single" w:sz="4" w:space="0" w:color="000000"/>
            </w:tcBorders>
            <w:shd w:val="clear" w:color="auto" w:fill="auto"/>
            <w:vAlign w:val="center"/>
            <w:hideMark/>
          </w:tcPr>
          <w:p w14:paraId="5427E54B"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color w:val="000000"/>
                <w:lang w:val="en-GB"/>
              </w:rPr>
              <w:t>100</w:t>
            </w:r>
          </w:p>
        </w:tc>
        <w:tc>
          <w:tcPr>
            <w:tcW w:w="1215" w:type="dxa"/>
            <w:tcBorders>
              <w:top w:val="single" w:sz="4" w:space="0" w:color="auto"/>
              <w:left w:val="nil"/>
              <w:bottom w:val="single" w:sz="4" w:space="0" w:color="auto"/>
              <w:right w:val="single" w:sz="4" w:space="0" w:color="000000"/>
            </w:tcBorders>
            <w:shd w:val="clear" w:color="auto" w:fill="auto"/>
            <w:noWrap/>
            <w:vAlign w:val="center"/>
            <w:hideMark/>
          </w:tcPr>
          <w:p w14:paraId="19944192" w14:textId="77777777" w:rsidR="00E1687E" w:rsidRPr="00287BF6" w:rsidRDefault="00E1687E" w:rsidP="00A76199">
            <w:pPr>
              <w:spacing w:after="0"/>
              <w:contextualSpacing/>
              <w:jc w:val="center"/>
              <w:rPr>
                <w:rFonts w:eastAsia="Times New Roman" w:cs="Arial"/>
                <w:color w:val="000000"/>
                <w:lang w:val="en-GB" w:eastAsia="en-GB"/>
              </w:rPr>
            </w:pPr>
            <w:r w:rsidRPr="00287BF6">
              <w:rPr>
                <w:rFonts w:cs="Arial"/>
                <w:bCs/>
                <w:color w:val="000000"/>
              </w:rPr>
              <w:t>100</w:t>
            </w:r>
          </w:p>
        </w:tc>
      </w:tr>
    </w:tbl>
    <w:p w14:paraId="56D6AF08" w14:textId="77A96FEC" w:rsidR="00E1687E" w:rsidRDefault="00E1687E" w:rsidP="00A76199">
      <w:pPr>
        <w:spacing w:after="0"/>
        <w:jc w:val="left"/>
      </w:pPr>
      <w:r>
        <w:t>Fonte: Louro (2019)</w:t>
      </w:r>
    </w:p>
    <w:p w14:paraId="3A37A89F" w14:textId="77777777" w:rsidR="00E1687E" w:rsidRDefault="00E1687E" w:rsidP="00A76199">
      <w:pPr>
        <w:spacing w:after="0"/>
        <w:jc w:val="left"/>
      </w:pPr>
    </w:p>
    <w:p w14:paraId="21882113" w14:textId="391F8BC2" w:rsidR="00DF2C24" w:rsidRDefault="0007221A" w:rsidP="00A76199">
      <w:pPr>
        <w:spacing w:after="0"/>
        <w:ind w:firstLine="708"/>
        <w:rPr>
          <w:i/>
          <w:iCs/>
        </w:rPr>
      </w:pPr>
      <w:r w:rsidRPr="000568D9">
        <w:t>Através</w:t>
      </w:r>
      <w:r w:rsidR="00EE67B7" w:rsidRPr="000568D9">
        <w:t xml:space="preserve"> da análise da </w:t>
      </w:r>
      <w:r w:rsidRPr="000568D9">
        <w:t>procura</w:t>
      </w:r>
      <w:r w:rsidR="00EE67B7" w:rsidRPr="000568D9">
        <w:t xml:space="preserve"> foi possível determinar que as deslocações a pé até aos serviços de proximidade são mais evidentes na </w:t>
      </w:r>
      <w:r w:rsidR="006D23B7" w:rsidRPr="000568D9">
        <w:t xml:space="preserve">cidade </w:t>
      </w:r>
      <w:r w:rsidR="006D23B7">
        <w:t xml:space="preserve">de </w:t>
      </w:r>
      <w:r w:rsidR="00EE67B7" w:rsidRPr="000568D9">
        <w:t xml:space="preserve">Lisboa, perdendo importância à medida que se afasta do centro para as áreas periféricas, ocorrendo um decréscimo das deslocações da </w:t>
      </w:r>
      <w:r w:rsidR="0082610F">
        <w:t xml:space="preserve">primeira </w:t>
      </w:r>
      <w:r w:rsidR="00EE67B7" w:rsidRPr="000568D9">
        <w:t xml:space="preserve">coroa </w:t>
      </w:r>
      <w:r w:rsidR="0082610F">
        <w:t>até</w:t>
      </w:r>
      <w:r w:rsidR="00EE67B7" w:rsidRPr="000568D9">
        <w:t xml:space="preserve"> à </w:t>
      </w:r>
      <w:r w:rsidR="0082610F">
        <w:t xml:space="preserve">quarta </w:t>
      </w:r>
      <w:r w:rsidR="0082610F" w:rsidRPr="000568D9">
        <w:t>coroa.</w:t>
      </w:r>
      <w:r w:rsidR="00EE67B7" w:rsidRPr="000568D9">
        <w:t xml:space="preserve"> Para além </w:t>
      </w:r>
      <w:r w:rsidR="006D23B7">
        <w:t>d</w:t>
      </w:r>
      <w:r w:rsidR="00EE67B7" w:rsidRPr="000568D9">
        <w:t xml:space="preserve">a forte evidência do modo pedonal no centro </w:t>
      </w:r>
      <w:r w:rsidR="00EE67B7" w:rsidRPr="00DF2C24">
        <w:t xml:space="preserve">de Lisboa, também se verifica uma forte expressão do uso do transporte individual na primeira coroa, demonstrando a presença de residentes com </w:t>
      </w:r>
      <w:r w:rsidR="0082610F" w:rsidRPr="00DF2C24">
        <w:t xml:space="preserve">uma maior </w:t>
      </w:r>
      <w:r w:rsidR="00EE67B7" w:rsidRPr="00DF2C24">
        <w:t xml:space="preserve">capacidade econômica para recorrer a serviços privados </w:t>
      </w:r>
      <w:r w:rsidR="0082610F" w:rsidRPr="00DF2C24">
        <w:t>utilizando o</w:t>
      </w:r>
      <w:r w:rsidR="00EE67B7" w:rsidRPr="00DF2C24">
        <w:t xml:space="preserve"> </w:t>
      </w:r>
      <w:r w:rsidR="0082610F" w:rsidRPr="00DF2C24">
        <w:t>transporte individual</w:t>
      </w:r>
      <w:r w:rsidR="00EE67B7" w:rsidRPr="00DF2C24">
        <w:t xml:space="preserve">. </w:t>
      </w:r>
      <w:r w:rsidR="00DF2C24" w:rsidRPr="00DF2C24">
        <w:t xml:space="preserve">Assim, é possível constatar que maior rendimento e maior escolaridade estão diretamente proporcionais à maior possibilidade de uso do </w:t>
      </w:r>
      <w:r w:rsidR="00410C22">
        <w:t>transporte individual</w:t>
      </w:r>
      <w:r w:rsidR="00DF2C24" w:rsidRPr="00DF2C24">
        <w:t>, garantindo aos idosos o acesso ao serviço em menos tempo.</w:t>
      </w:r>
      <w:r w:rsidR="00DF2C24">
        <w:t xml:space="preserve"> </w:t>
      </w:r>
      <w:r w:rsidR="0082610F" w:rsidRPr="00DF2C24">
        <w:t xml:space="preserve">Nas áreas periféricas, nomeadamente na quarta coroa da AML, devido a uma menor densidade populacional e a um tecido urbano mais fragmentado verifica-se que a população também </w:t>
      </w:r>
      <w:r w:rsidR="00DF2C24" w:rsidRPr="00DF2C24">
        <w:t>apresenta uma forte utilização do uso do</w:t>
      </w:r>
      <w:r w:rsidR="0082610F" w:rsidRPr="00DF2C24">
        <w:t xml:space="preserve"> </w:t>
      </w:r>
      <w:r w:rsidR="00DF2C24" w:rsidRPr="00DF2C24">
        <w:t>transporte individual</w:t>
      </w:r>
      <w:r w:rsidR="0082610F" w:rsidRPr="00DF2C24">
        <w:t xml:space="preserve"> para aceder aos serviços de saúde de proximidade</w:t>
      </w:r>
      <w:r w:rsidR="00DF2C24" w:rsidRPr="00DF2C24">
        <w:t>.</w:t>
      </w:r>
      <w:r w:rsidR="00DF2C24">
        <w:t xml:space="preserve"> </w:t>
      </w:r>
    </w:p>
    <w:p w14:paraId="0E7E7805" w14:textId="77777777" w:rsidR="005E0269" w:rsidRPr="000568D9" w:rsidRDefault="005E0269" w:rsidP="005E0269">
      <w:pPr>
        <w:spacing w:after="0"/>
        <w:ind w:firstLine="708"/>
      </w:pPr>
      <w:r w:rsidRPr="000568D9">
        <w:t>Estes resultados representam duas realidades</w:t>
      </w:r>
      <w:r>
        <w:t>:</w:t>
      </w:r>
      <w:r w:rsidRPr="000568D9">
        <w:t xml:space="preserve"> por um lado, existe a possibilidade de </w:t>
      </w:r>
      <w:r>
        <w:t>recorrer a</w:t>
      </w:r>
      <w:r w:rsidRPr="000568D9">
        <w:t xml:space="preserve"> um prestador de serviço de saúde de natureza privada que não se encontra na proximidade, obrigando a população idosa </w:t>
      </w:r>
      <w:r>
        <w:t>a efetuar</w:t>
      </w:r>
      <w:r w:rsidRPr="000568D9">
        <w:t xml:space="preserve"> uma deslocação de maior distância-tempo, necessitando </w:t>
      </w:r>
      <w:r>
        <w:t>assim de recorrer a</w:t>
      </w:r>
      <w:r w:rsidRPr="000568D9">
        <w:t>o uso do automóvel</w:t>
      </w:r>
      <w:r>
        <w:t xml:space="preserve">. Por outro lado, </w:t>
      </w:r>
      <w:r w:rsidRPr="000568D9">
        <w:t xml:space="preserve">também demonstram que o processo de ocupação do território nas várias coroas da AML </w:t>
      </w:r>
      <w:r w:rsidRPr="00010247">
        <w:t xml:space="preserve">é diferente, havendo territórios que apresentam um padrão com menor densidade </w:t>
      </w:r>
      <w:r>
        <w:t xml:space="preserve">populacional </w:t>
      </w:r>
      <w:r w:rsidRPr="00010247">
        <w:t xml:space="preserve">e </w:t>
      </w:r>
      <w:r>
        <w:t xml:space="preserve">um processo </w:t>
      </w:r>
      <w:r w:rsidRPr="00010247">
        <w:t>disperso</w:t>
      </w:r>
      <w:r>
        <w:t xml:space="preserve">, </w:t>
      </w:r>
      <w:r w:rsidRPr="00010247">
        <w:t>que influenciam a localização dos serviços de saúde na lógica de proximidade</w:t>
      </w:r>
      <w:r>
        <w:t xml:space="preserve">. Por outro lado, estes territórios de ocupação dispersa também se caracterizam por </w:t>
      </w:r>
      <w:r w:rsidRPr="00010247">
        <w:t>serviços de transporte público menos frequentes, incentivando assim o uso do transporte individual por parte da população idosa (Louro, 2019; Marques da Costa, 2011).</w:t>
      </w:r>
    </w:p>
    <w:p w14:paraId="40071854" w14:textId="77777777" w:rsidR="005E0269" w:rsidRDefault="005E0269" w:rsidP="00A76199">
      <w:pPr>
        <w:spacing w:after="0"/>
        <w:ind w:firstLine="708"/>
      </w:pPr>
    </w:p>
    <w:p w14:paraId="009F60FE" w14:textId="77777777" w:rsidR="00A76199" w:rsidRPr="000568D9" w:rsidRDefault="00A76199" w:rsidP="00A76199">
      <w:pPr>
        <w:spacing w:after="0"/>
        <w:ind w:firstLine="708"/>
      </w:pPr>
    </w:p>
    <w:p w14:paraId="50ABADD2" w14:textId="53E162A8" w:rsidR="00CC0C26" w:rsidRDefault="009706E0" w:rsidP="009706E0">
      <w:pPr>
        <w:spacing w:after="0"/>
      </w:pPr>
      <w:r w:rsidRPr="000568D9">
        <w:t>CONSIDERAÇÕES FINAIS:</w:t>
      </w:r>
    </w:p>
    <w:p w14:paraId="1A5D9D78" w14:textId="77777777" w:rsidR="00E1687E" w:rsidRPr="000568D9" w:rsidRDefault="00E1687E" w:rsidP="00A76199">
      <w:pPr>
        <w:pStyle w:val="PargrafodaLista"/>
        <w:spacing w:after="0"/>
      </w:pPr>
    </w:p>
    <w:p w14:paraId="06EE67F5" w14:textId="68C6FB70" w:rsidR="00515BD3" w:rsidRDefault="00CC0C26" w:rsidP="00A76199">
      <w:pPr>
        <w:spacing w:after="0"/>
        <w:ind w:firstLine="708"/>
      </w:pPr>
      <w:r w:rsidRPr="000568D9">
        <w:t>Em suma, apesar dos equipamentos de cuidados de saúde primários terem uma lógica de serviços de proximidade, os mesmos apresentam bastantes diferenças na forma como prestam os seus serviços</w:t>
      </w:r>
      <w:r w:rsidR="00DF2C24">
        <w:t>,</w:t>
      </w:r>
      <w:r w:rsidRPr="000568D9">
        <w:t xml:space="preserve"> </w:t>
      </w:r>
      <w:r w:rsidR="00DF2C24">
        <w:t>tendo em conta</w:t>
      </w:r>
      <w:r w:rsidRPr="000568D9">
        <w:t xml:space="preserve"> as características socioecon</w:t>
      </w:r>
      <w:r w:rsidR="00A97BC3">
        <w:t>ô</w:t>
      </w:r>
      <w:r w:rsidRPr="000568D9">
        <w:t>micas da população idosa residente e o modelo de urbanização que a AML apresenta.</w:t>
      </w:r>
      <w:r w:rsidR="00932D96" w:rsidRPr="000568D9">
        <w:t xml:space="preserve"> Desde modo através do presente estudo verificou-se dois grandes fatores que condicionam o acesso aos serviços de saúde por parte da população idosa: </w:t>
      </w:r>
    </w:p>
    <w:p w14:paraId="4FDDE6CC" w14:textId="503D24D5" w:rsidR="008909BB" w:rsidRDefault="00515BD3" w:rsidP="00A76199">
      <w:pPr>
        <w:spacing w:after="0"/>
        <w:ind w:firstLine="708"/>
      </w:pPr>
      <w:r>
        <w:t>- o</w:t>
      </w:r>
      <w:r w:rsidR="002C23E2" w:rsidRPr="000568D9">
        <w:t xml:space="preserve"> </w:t>
      </w:r>
      <w:r>
        <w:t>primeiro</w:t>
      </w:r>
      <w:r w:rsidR="002C23E2" w:rsidRPr="000568D9">
        <w:t xml:space="preserve"> fator está relacionado com </w:t>
      </w:r>
      <w:r w:rsidR="003C2001" w:rsidRPr="000568D9">
        <w:t xml:space="preserve">a distribuição dos equipamentos de CSP </w:t>
      </w:r>
      <w:r w:rsidR="00150DE1">
        <w:t>segundo</w:t>
      </w:r>
      <w:r w:rsidR="003C2001" w:rsidRPr="000568D9">
        <w:t xml:space="preserve"> a</w:t>
      </w:r>
      <w:r w:rsidR="002C23E2" w:rsidRPr="000568D9">
        <w:t xml:space="preserve">s características </w:t>
      </w:r>
      <w:r w:rsidR="00150DE1">
        <w:t>d</w:t>
      </w:r>
      <w:r w:rsidR="002C23E2" w:rsidRPr="000568D9">
        <w:t>o modelo de urbanização da AM</w:t>
      </w:r>
      <w:r w:rsidR="002C23E2" w:rsidRPr="00150DE1">
        <w:t>L</w:t>
      </w:r>
      <w:r w:rsidR="00150DE1" w:rsidRPr="00150DE1">
        <w:t>,</w:t>
      </w:r>
      <w:r w:rsidR="00150DE1">
        <w:t xml:space="preserve"> </w:t>
      </w:r>
      <w:r w:rsidR="00184416" w:rsidRPr="000568D9">
        <w:t xml:space="preserve">demonstrando que </w:t>
      </w:r>
      <w:r w:rsidR="00150DE1">
        <w:t>os territórios</w:t>
      </w:r>
      <w:r w:rsidR="00184416" w:rsidRPr="000568D9">
        <w:t xml:space="preserve"> que apresentam uma maior densidade populacional e de edificado correspondem </w:t>
      </w:r>
      <w:r w:rsidR="00150DE1">
        <w:t xml:space="preserve">aos territórios </w:t>
      </w:r>
      <w:r w:rsidR="00150DE1" w:rsidRPr="000568D9">
        <w:t>onde</w:t>
      </w:r>
      <w:r w:rsidR="00184416" w:rsidRPr="000568D9">
        <w:t xml:space="preserve"> se verifica uma maior concentração de serviços de cuidados de saúde primários e </w:t>
      </w:r>
      <w:r w:rsidR="003C2001" w:rsidRPr="000568D9">
        <w:t xml:space="preserve">com </w:t>
      </w:r>
      <w:r w:rsidR="00184416" w:rsidRPr="000568D9">
        <w:t>áreas de influência m</w:t>
      </w:r>
      <w:r w:rsidR="00184416" w:rsidRPr="006E02EA">
        <w:t>enor</w:t>
      </w:r>
      <w:r w:rsidR="003C2001" w:rsidRPr="006E02EA">
        <w:t>es</w:t>
      </w:r>
      <w:r w:rsidR="00184416" w:rsidRPr="006E02EA">
        <w:t>.</w:t>
      </w:r>
      <w:r w:rsidR="006E02EA" w:rsidRPr="006E02EA">
        <w:t xml:space="preserve"> </w:t>
      </w:r>
      <w:r w:rsidR="008909BB" w:rsidRPr="006E02EA">
        <w:t>Em oposição, os territórios que apresentam uma menor densidade populacional e com uma ocupação do edificado mais disperso representam uma menor procura por serviços de saúde, consequentemente as áreas de influência são mais extensas de forma a abranger um número aceitável de população, atingindo assim os limiares mínimos para a prestação de serviços de saúde, contudo, esta dinâmica proporciona que a distância-tempo a percorrer até um CSP seja maior nas áreas com um tecido urb</w:t>
      </w:r>
      <w:r>
        <w:t>ano mais fragmentado;</w:t>
      </w:r>
    </w:p>
    <w:p w14:paraId="2D5052E1" w14:textId="035267F3" w:rsidR="00515BD3" w:rsidRDefault="00515BD3" w:rsidP="00515BD3">
      <w:pPr>
        <w:spacing w:after="0"/>
        <w:ind w:firstLine="708"/>
      </w:pPr>
      <w:r>
        <w:t xml:space="preserve">- </w:t>
      </w:r>
      <w:r w:rsidRPr="000568D9">
        <w:t xml:space="preserve">o </w:t>
      </w:r>
      <w:r>
        <w:t>segundo</w:t>
      </w:r>
      <w:r w:rsidRPr="000568D9">
        <w:t xml:space="preserve"> fator incide sobre os determinantes sociais, proporcionados pelas suas caraterísticas socioecon</w:t>
      </w:r>
      <w:r w:rsidR="00A97BC3">
        <w:t>ô</w:t>
      </w:r>
      <w:r w:rsidRPr="000568D9">
        <w:t>micas, como o rendimento, escolaridade e a pos</w:t>
      </w:r>
      <w:r>
        <w:t>s</w:t>
      </w:r>
      <w:r w:rsidRPr="000568D9">
        <w:t>e de automóvel</w:t>
      </w:r>
      <w:r>
        <w:t>. E</w:t>
      </w:r>
      <w:r w:rsidRPr="000568D9">
        <w:t xml:space="preserve">stes indicadores permitem uma maior flexibilidade nas suas deslocações e mais liberdade na escolha do serviço de saúde e consequentemente mais acessos aos </w:t>
      </w:r>
      <w:r>
        <w:t>mesmos.</w:t>
      </w:r>
    </w:p>
    <w:p w14:paraId="17B20D2A" w14:textId="5B8B5E85" w:rsidR="00CC0C26" w:rsidRPr="000568D9" w:rsidRDefault="003C2001" w:rsidP="00A76199">
      <w:pPr>
        <w:spacing w:after="0"/>
        <w:ind w:firstLine="708"/>
      </w:pPr>
      <w:r w:rsidRPr="006E02EA">
        <w:t xml:space="preserve">Assim, verifica-se uma dinâmica descendente no acesso e oferta de prestação de serviços de CSP à medida que se afasta do centro de Lisboa, constatando que a primeira coroa que corresponde à </w:t>
      </w:r>
      <w:r w:rsidR="00515BD3">
        <w:t>cidade de Lisboa</w:t>
      </w:r>
      <w:r w:rsidRPr="006E02EA">
        <w:t>, apresenta maior densidade populacional e mais densidade de idosos, proporcionando uma maior prestação de CSP</w:t>
      </w:r>
      <w:r w:rsidR="00515BD3">
        <w:t>. À</w:t>
      </w:r>
      <w:r w:rsidRPr="006E02EA">
        <w:t xml:space="preserve"> medida que </w:t>
      </w:r>
      <w:r w:rsidR="00515BD3">
        <w:t>nos</w:t>
      </w:r>
      <w:r w:rsidRPr="006E02EA">
        <w:t xml:space="preserve"> afasta</w:t>
      </w:r>
      <w:r w:rsidR="00515BD3">
        <w:t>mos</w:t>
      </w:r>
      <w:r w:rsidRPr="006E02EA">
        <w:t xml:space="preserve"> da primeira coroa verifica-se um decréscimo da densidade populacional e do edificado</w:t>
      </w:r>
      <w:r w:rsidR="006E02EA" w:rsidRPr="006E02EA">
        <w:t>,</w:t>
      </w:r>
      <w:r w:rsidRPr="006E02EA">
        <w:t xml:space="preserve"> originando um aumento das </w:t>
      </w:r>
      <w:r w:rsidR="00AC772A" w:rsidRPr="006E02EA">
        <w:t>áreas de influê</w:t>
      </w:r>
      <w:r w:rsidRPr="006E02EA">
        <w:t>ncia da prestação de serviços de CSP</w:t>
      </w:r>
      <w:r w:rsidR="00AC772A" w:rsidRPr="006E02EA">
        <w:t>, não conseguido atingir os níveis de cobertura desejados</w:t>
      </w:r>
      <w:r w:rsidR="00515BD3">
        <w:t>. A</w:t>
      </w:r>
      <w:r w:rsidR="00AC772A" w:rsidRPr="006E02EA">
        <w:t xml:space="preserve"> terceira e quarta coroa, apresentam dificuldade</w:t>
      </w:r>
      <w:r w:rsidR="00515BD3">
        <w:t>s</w:t>
      </w:r>
      <w:r w:rsidR="00AC772A" w:rsidRPr="006E02EA">
        <w:t xml:space="preserve"> no acesso a um serviço de proximidad</w:t>
      </w:r>
      <w:r w:rsidR="006E02EA" w:rsidRPr="006E02EA">
        <w:t>e</w:t>
      </w:r>
      <w:r w:rsidR="00AC772A" w:rsidRPr="006E02EA">
        <w:t>, a menos de 15 minutos a pé.</w:t>
      </w:r>
      <w:r w:rsidR="00AC772A" w:rsidRPr="000568D9">
        <w:t xml:space="preserve"> </w:t>
      </w:r>
    </w:p>
    <w:p w14:paraId="7FB3ABDF" w14:textId="77777777" w:rsidR="009706E0" w:rsidRDefault="00FF01C4" w:rsidP="009706E0">
      <w:pPr>
        <w:spacing w:after="0"/>
        <w:ind w:firstLine="708"/>
      </w:pPr>
      <w:r>
        <w:t xml:space="preserve">Podemos concluir que para além dos vários fatores apontados, destacamos que o modelo disperso de urbanização é um fator de iniquidade no acesso aos cuidados de saúde, pelas dificuldades que cria na sua localização e acessibilidade. Conclui-se ainda a </w:t>
      </w:r>
      <w:r w:rsidR="008871E8" w:rsidRPr="006E02EA">
        <w:t>relevância d</w:t>
      </w:r>
      <w:r>
        <w:t>e</w:t>
      </w:r>
      <w:r w:rsidR="008871E8" w:rsidRPr="006E02EA">
        <w:t xml:space="preserve"> aprofundamento de estudo</w:t>
      </w:r>
      <w:r w:rsidR="006E02EA" w:rsidRPr="006E02EA">
        <w:t>s</w:t>
      </w:r>
      <w:r w:rsidR="008871E8" w:rsidRPr="006E02EA">
        <w:t xml:space="preserve"> de </w:t>
      </w:r>
      <w:r w:rsidR="00515BD3">
        <w:t>acesso</w:t>
      </w:r>
      <w:r w:rsidR="008871E8" w:rsidRPr="006E02EA">
        <w:t xml:space="preserve"> aos cuidados de saúde por parte da população idosa</w:t>
      </w:r>
      <w:r>
        <w:t>, de forma a se poderem encontrar melhores</w:t>
      </w:r>
      <w:r w:rsidR="008871E8" w:rsidRPr="006E02EA">
        <w:t xml:space="preserve"> resposta</w:t>
      </w:r>
      <w:r>
        <w:t>s</w:t>
      </w:r>
      <w:r w:rsidR="008871E8" w:rsidRPr="006E02EA">
        <w:t xml:space="preserve"> por parte das políticas públicas, </w:t>
      </w:r>
      <w:r>
        <w:t>contribuindo para a coesão social e territorial</w:t>
      </w:r>
      <w:r w:rsidR="008871E8" w:rsidRPr="006E02EA">
        <w:t>.</w:t>
      </w:r>
      <w:bookmarkStart w:id="1" w:name="_Hlk73139232"/>
    </w:p>
    <w:p w14:paraId="5EF5DCC6" w14:textId="77777777" w:rsidR="009706E0" w:rsidRDefault="009706E0" w:rsidP="009706E0">
      <w:pPr>
        <w:spacing w:after="0"/>
      </w:pPr>
    </w:p>
    <w:p w14:paraId="12A7100F" w14:textId="16467C23" w:rsidR="0010409C" w:rsidRDefault="009706E0" w:rsidP="009706E0">
      <w:pPr>
        <w:spacing w:after="0"/>
        <w:rPr>
          <w:lang w:val="en-GB"/>
        </w:rPr>
      </w:pPr>
      <w:r w:rsidRPr="0079506C">
        <w:rPr>
          <w:lang w:val="en-GB"/>
        </w:rPr>
        <w:lastRenderedPageBreak/>
        <w:t xml:space="preserve">REFERÊNCIAS: </w:t>
      </w:r>
    </w:p>
    <w:p w14:paraId="0CBF0F06" w14:textId="77777777" w:rsidR="00A76199" w:rsidRPr="0079506C" w:rsidRDefault="00A76199" w:rsidP="00A76199">
      <w:pPr>
        <w:spacing w:after="0"/>
        <w:rPr>
          <w:lang w:val="en-GB"/>
        </w:rPr>
      </w:pPr>
    </w:p>
    <w:bookmarkEnd w:id="1"/>
    <w:p w14:paraId="53A90680" w14:textId="77777777" w:rsidR="00F87E2E" w:rsidRPr="001E2305" w:rsidRDefault="00F87E2E" w:rsidP="009706E0">
      <w:pPr>
        <w:spacing w:after="120"/>
        <w:jc w:val="left"/>
      </w:pPr>
      <w:r w:rsidRPr="001E2305">
        <w:rPr>
          <w:lang w:val="en-GB"/>
        </w:rPr>
        <w:t xml:space="preserve">BLACKWOOD, R.; BINDRA, R. </w:t>
      </w:r>
      <w:r w:rsidRPr="001E2305">
        <w:rPr>
          <w:i/>
          <w:iCs/>
          <w:lang w:val="en-GB"/>
        </w:rPr>
        <w:t>Approaches to the assessment of health care needs, utilisation and outcomes, and the evaluation of health and health care</w:t>
      </w:r>
      <w:r w:rsidRPr="001E2305">
        <w:rPr>
          <w:lang w:val="en-GB"/>
        </w:rPr>
        <w:t xml:space="preserve">. The Public Health Textbook. </w:t>
      </w:r>
      <w:r w:rsidRPr="00F87E2E">
        <w:rPr>
          <w:lang w:val="en-GB"/>
        </w:rPr>
        <w:t xml:space="preserve">2009. </w:t>
      </w:r>
      <w:proofErr w:type="spellStart"/>
      <w:r w:rsidRPr="00F87E2E">
        <w:rPr>
          <w:lang w:val="en-GB"/>
        </w:rPr>
        <w:t>Disponível</w:t>
      </w:r>
      <w:proofErr w:type="spellEnd"/>
      <w:r w:rsidRPr="00F87E2E">
        <w:rPr>
          <w:lang w:val="en-GB"/>
        </w:rPr>
        <w:t xml:space="preserve"> </w:t>
      </w:r>
      <w:proofErr w:type="spellStart"/>
      <w:r w:rsidRPr="00F87E2E">
        <w:rPr>
          <w:lang w:val="en-GB"/>
        </w:rPr>
        <w:t>em</w:t>
      </w:r>
      <w:proofErr w:type="spellEnd"/>
      <w:r w:rsidRPr="00F87E2E">
        <w:rPr>
          <w:lang w:val="en-GB"/>
        </w:rPr>
        <w:t xml:space="preserve">: &lt;https://www.healthknowledge.org.uk/public-health-textbook/research-methods/1c-health-care-evaluation-health-care-assessment/equity-health-care&gt;. </w:t>
      </w:r>
      <w:r>
        <w:t>Acesso em: 25 out. 2019.</w:t>
      </w:r>
    </w:p>
    <w:p w14:paraId="16842C08" w14:textId="40E6A9C4" w:rsidR="00064EF6" w:rsidRPr="00530E5B" w:rsidRDefault="009918F8" w:rsidP="009706E0">
      <w:pPr>
        <w:spacing w:after="120"/>
        <w:jc w:val="left"/>
        <w:rPr>
          <w:rFonts w:cs="Arial"/>
          <w:shd w:val="clear" w:color="auto" w:fill="FFFFFF"/>
        </w:rPr>
      </w:pPr>
      <w:r>
        <w:rPr>
          <w:rFonts w:cs="Arial"/>
          <w:shd w:val="clear" w:color="auto" w:fill="FFFFFF"/>
        </w:rPr>
        <w:t xml:space="preserve">DA </w:t>
      </w:r>
      <w:r w:rsidR="00755860" w:rsidRPr="00530E5B">
        <w:rPr>
          <w:rFonts w:cs="Arial"/>
          <w:shd w:val="clear" w:color="auto" w:fill="FFFFFF"/>
        </w:rPr>
        <w:t>COSTA, E</w:t>
      </w:r>
      <w:r>
        <w:rPr>
          <w:rFonts w:cs="Arial"/>
          <w:shd w:val="clear" w:color="auto" w:fill="FFFFFF"/>
        </w:rPr>
        <w:t>. MARQUES</w:t>
      </w:r>
      <w:r w:rsidR="00755860" w:rsidRPr="00530E5B">
        <w:rPr>
          <w:rFonts w:cs="Arial"/>
          <w:shd w:val="clear" w:color="auto" w:fill="FFFFFF"/>
        </w:rPr>
        <w:t xml:space="preserve">, </w:t>
      </w:r>
      <w:r>
        <w:rPr>
          <w:rFonts w:cs="Arial"/>
          <w:shd w:val="clear" w:color="auto" w:fill="FFFFFF"/>
        </w:rPr>
        <w:t xml:space="preserve">DA </w:t>
      </w:r>
      <w:r w:rsidR="00755860" w:rsidRPr="00530E5B">
        <w:rPr>
          <w:rFonts w:cs="Arial"/>
          <w:shd w:val="clear" w:color="auto" w:fill="FFFFFF"/>
        </w:rPr>
        <w:t>COSTA, N</w:t>
      </w:r>
      <w:r>
        <w:rPr>
          <w:rFonts w:cs="Arial"/>
          <w:shd w:val="clear" w:color="auto" w:fill="FFFFFF"/>
        </w:rPr>
        <w:t>. MARQUES</w:t>
      </w:r>
      <w:r w:rsidR="00755860" w:rsidRPr="00530E5B">
        <w:rPr>
          <w:rFonts w:cs="Arial"/>
          <w:shd w:val="clear" w:color="auto" w:fill="FFFFFF"/>
        </w:rPr>
        <w:t>, LOURO, A</w:t>
      </w:r>
      <w:r>
        <w:rPr>
          <w:rFonts w:cs="Arial"/>
          <w:shd w:val="clear" w:color="auto" w:fill="FFFFFF"/>
        </w:rPr>
        <w:t>.</w:t>
      </w:r>
      <w:r w:rsidR="00755860" w:rsidRPr="00530E5B">
        <w:rPr>
          <w:rFonts w:cs="Arial"/>
          <w:shd w:val="clear" w:color="auto" w:fill="FFFFFF"/>
        </w:rPr>
        <w:t xml:space="preserve"> &amp; BARATA, M</w:t>
      </w:r>
      <w:r>
        <w:rPr>
          <w:rFonts w:cs="Arial"/>
          <w:shd w:val="clear" w:color="auto" w:fill="FFFFFF"/>
        </w:rPr>
        <w:t>.</w:t>
      </w:r>
      <w:r w:rsidR="00755860" w:rsidRPr="00530E5B">
        <w:rPr>
          <w:rFonts w:cs="Arial"/>
          <w:shd w:val="clear" w:color="auto" w:fill="FFFFFF"/>
        </w:rPr>
        <w:t xml:space="preserve"> </w:t>
      </w:r>
      <w:r w:rsidR="00064EF6" w:rsidRPr="00530E5B">
        <w:rPr>
          <w:rFonts w:cs="Arial"/>
          <w:shd w:val="clear" w:color="auto" w:fill="FFFFFF"/>
        </w:rPr>
        <w:t xml:space="preserve">“Geografias” do acesso dos idosos aos cuidados de saúde primários na Área Metropolitana de Lisboa, Portugal: um território de diferenças. </w:t>
      </w:r>
      <w:r w:rsidR="00064EF6" w:rsidRPr="00755860">
        <w:rPr>
          <w:rFonts w:cs="Arial"/>
          <w:b/>
          <w:bCs/>
          <w:iCs/>
          <w:shd w:val="clear" w:color="auto" w:fill="FFFFFF"/>
        </w:rPr>
        <w:t>Saúde e Sociedade,</w:t>
      </w:r>
      <w:r w:rsidR="00064EF6" w:rsidRPr="00530E5B">
        <w:rPr>
          <w:rFonts w:cs="Arial"/>
          <w:shd w:val="clear" w:color="auto" w:fill="FFFFFF"/>
        </w:rPr>
        <w:t xml:space="preserve"> </w:t>
      </w:r>
      <w:r w:rsidR="00755860">
        <w:rPr>
          <w:rFonts w:cs="Arial"/>
          <w:shd w:val="clear" w:color="auto" w:fill="FFFFFF"/>
        </w:rPr>
        <w:t>São Paulo,</w:t>
      </w:r>
      <w:r w:rsidR="00530E5B">
        <w:t xml:space="preserve"> v. 29, n. 2, p. 1-1</w:t>
      </w:r>
      <w:r w:rsidR="00755860">
        <w:t>3</w:t>
      </w:r>
      <w:r w:rsidR="00064EF6" w:rsidRPr="00530E5B">
        <w:rPr>
          <w:rFonts w:cs="Arial"/>
          <w:shd w:val="clear" w:color="auto" w:fill="FFFFFF"/>
        </w:rPr>
        <w:t xml:space="preserve">. 2020 </w:t>
      </w:r>
      <w:hyperlink r:id="rId11" w:history="1">
        <w:r w:rsidR="00064EF6" w:rsidRPr="00530E5B">
          <w:rPr>
            <w:rStyle w:val="Hyperlink"/>
            <w:rFonts w:cs="Arial"/>
            <w:color w:val="auto"/>
            <w:shd w:val="clear" w:color="auto" w:fill="FFFFFF"/>
          </w:rPr>
          <w:t>https://doi.org/10.1590/s0104-12902020200108</w:t>
        </w:r>
      </w:hyperlink>
    </w:p>
    <w:p w14:paraId="2ABCF185" w14:textId="77777777" w:rsidR="00F87E2E" w:rsidRPr="001E2305" w:rsidRDefault="00F87E2E" w:rsidP="009706E0">
      <w:pPr>
        <w:spacing w:after="120"/>
        <w:jc w:val="left"/>
        <w:rPr>
          <w:bCs/>
          <w:szCs w:val="24"/>
        </w:rPr>
      </w:pPr>
      <w:r w:rsidRPr="001E2305">
        <w:rPr>
          <w:bCs/>
          <w:szCs w:val="24"/>
        </w:rPr>
        <w:t>Decreto-Lei n.º 60/2003, de 1 de abril. Diário da República n.º 77/2003 – I Série. Ministério da Saúde. Lisboa</w:t>
      </w:r>
    </w:p>
    <w:p w14:paraId="2D8A43A0" w14:textId="77777777" w:rsidR="00F87E2E" w:rsidRDefault="00F87E2E" w:rsidP="009706E0">
      <w:pPr>
        <w:spacing w:after="120"/>
        <w:jc w:val="left"/>
      </w:pPr>
      <w:r w:rsidRPr="006A254F">
        <w:t>Decreto-lei n</w:t>
      </w:r>
      <w:r>
        <w:t>.</w:t>
      </w:r>
      <w:r w:rsidRPr="006A254F">
        <w:t xml:space="preserve">º 118/2014, de 5 de agosto. Diário da República n.º 149/2014 </w:t>
      </w:r>
      <w:r w:rsidRPr="001E2305">
        <w:rPr>
          <w:bCs/>
          <w:szCs w:val="24"/>
        </w:rPr>
        <w:t xml:space="preserve">– I Série. </w:t>
      </w:r>
      <w:r w:rsidRPr="006A254F">
        <w:t>Ministério da Saúde. Lisboa</w:t>
      </w:r>
    </w:p>
    <w:p w14:paraId="2C510F78" w14:textId="77777777" w:rsidR="00F87E2E" w:rsidRDefault="00F87E2E" w:rsidP="009706E0">
      <w:pPr>
        <w:spacing w:after="120"/>
        <w:jc w:val="left"/>
      </w:pPr>
      <w:r>
        <w:t>DGT – DIREÇÃO GERAL DO TERRITÓRIO. Carta Administrativa Oficial de Portugal. Lisboa: DGT, 2018.</w:t>
      </w:r>
    </w:p>
    <w:p w14:paraId="589ED5EF" w14:textId="77777777" w:rsidR="00F87E2E" w:rsidRDefault="00F87E2E" w:rsidP="009706E0">
      <w:pPr>
        <w:spacing w:after="120"/>
        <w:jc w:val="left"/>
      </w:pPr>
      <w:r>
        <w:t xml:space="preserve">LOURO, Ana. </w:t>
      </w:r>
      <w:r w:rsidRPr="001E2305">
        <w:rPr>
          <w:b/>
          <w:bCs/>
        </w:rPr>
        <w:t>Contributos da gestão e planeamento da mobilidade urbana para a construção de “cidades saudáveis.</w:t>
      </w:r>
      <w:r>
        <w:t xml:space="preserve"> 2019. 497 f. Tese (Doutorado em Geografia, Planeamento Regional e Urbano) – Instituto de Geografia e Ordenamento do Território, Universidade de Lisboa, Lisboa, 2019.</w:t>
      </w:r>
    </w:p>
    <w:p w14:paraId="60821002" w14:textId="77777777" w:rsidR="00F87E2E" w:rsidRDefault="00F87E2E" w:rsidP="009706E0">
      <w:pPr>
        <w:spacing w:after="120"/>
        <w:jc w:val="left"/>
      </w:pPr>
      <w:r>
        <w:t>MARQUES DA COSTA, N. Mobilidade e transportes em áreas urbanas: o caso da AML. Lisboa: MOPT-CEG, 2011</w:t>
      </w:r>
    </w:p>
    <w:p w14:paraId="2A1AC9C1" w14:textId="77777777" w:rsidR="008A4F1B" w:rsidRPr="008367B9" w:rsidRDefault="008A4F1B" w:rsidP="009706E0">
      <w:pPr>
        <w:spacing w:after="120"/>
        <w:jc w:val="left"/>
        <w:rPr>
          <w:rFonts w:cs="Arial"/>
          <w:iCs/>
          <w:lang w:val="en-GB"/>
        </w:rPr>
      </w:pPr>
      <w:r w:rsidRPr="00530E5B">
        <w:rPr>
          <w:rFonts w:eastAsia="Times New Roman" w:cs="Arial"/>
          <w:caps/>
        </w:rPr>
        <w:t>Palma, P.; Marques da Costa, E.; Marques da Costa</w:t>
      </w:r>
      <w:r w:rsidRPr="00530E5B">
        <w:rPr>
          <w:rFonts w:eastAsia="Times New Roman" w:cs="Arial"/>
        </w:rPr>
        <w:t xml:space="preserve">, N. </w:t>
      </w:r>
      <w:r w:rsidRPr="00530E5B">
        <w:rPr>
          <w:rFonts w:cs="Arial"/>
        </w:rPr>
        <w:t xml:space="preserve">Disparidades regionais no acesso aos serviços de saúde em territórios de baixa densidade: os casos do Alentejo (Portugal) e Navarra (Espanha). In: SOARES, B. et al. (Orgs). </w:t>
      </w:r>
      <w:r w:rsidRPr="00530E5B">
        <w:rPr>
          <w:rFonts w:cs="Arial"/>
          <w:b/>
          <w:bCs/>
        </w:rPr>
        <w:t>Construindo cidades saudáveis: utopias e práticas</w:t>
      </w:r>
      <w:r w:rsidRPr="00530E5B">
        <w:rPr>
          <w:rFonts w:cs="Arial"/>
        </w:rPr>
        <w:t xml:space="preserve">. </w:t>
      </w:r>
      <w:proofErr w:type="spellStart"/>
      <w:r w:rsidRPr="008367B9">
        <w:rPr>
          <w:rFonts w:cs="Arial"/>
          <w:lang w:val="en-GB"/>
        </w:rPr>
        <w:t>Uberlândia</w:t>
      </w:r>
      <w:proofErr w:type="spellEnd"/>
      <w:r w:rsidRPr="008367B9">
        <w:rPr>
          <w:rFonts w:cs="Arial"/>
          <w:lang w:val="en-GB"/>
        </w:rPr>
        <w:t xml:space="preserve">: </w:t>
      </w:r>
      <w:r w:rsidRPr="008367B9">
        <w:rPr>
          <w:rFonts w:eastAsia="Verdana" w:cs="Arial"/>
          <w:bCs/>
          <w:lang w:val="en-GB"/>
        </w:rPr>
        <w:t xml:space="preserve">Assis </w:t>
      </w:r>
      <w:proofErr w:type="spellStart"/>
      <w:r w:rsidRPr="008367B9">
        <w:rPr>
          <w:rFonts w:eastAsia="Verdana" w:cs="Arial"/>
          <w:bCs/>
          <w:lang w:val="en-GB"/>
        </w:rPr>
        <w:t>Editora</w:t>
      </w:r>
      <w:proofErr w:type="spellEnd"/>
      <w:r w:rsidRPr="008367B9">
        <w:rPr>
          <w:rFonts w:cs="Arial"/>
          <w:lang w:val="en-GB"/>
        </w:rPr>
        <w:t>, </w:t>
      </w:r>
      <w:r w:rsidRPr="008367B9">
        <w:rPr>
          <w:rFonts w:eastAsia="Times New Roman" w:cs="Arial"/>
          <w:lang w:val="en-GB"/>
        </w:rPr>
        <w:t>2017</w:t>
      </w:r>
      <w:r w:rsidRPr="008367B9">
        <w:rPr>
          <w:rFonts w:cs="Arial"/>
          <w:iCs/>
          <w:lang w:val="en-GB"/>
        </w:rPr>
        <w:t>. p. 453-487</w:t>
      </w:r>
    </w:p>
    <w:p w14:paraId="20563503" w14:textId="72FB3485" w:rsidR="00F87E2E" w:rsidRDefault="00F87E2E" w:rsidP="009706E0">
      <w:pPr>
        <w:spacing w:after="120"/>
        <w:jc w:val="left"/>
      </w:pPr>
      <w:r w:rsidRPr="001E2305">
        <w:rPr>
          <w:lang w:val="en-GB"/>
        </w:rPr>
        <w:t xml:space="preserve">MOBLEY, L.  et al. Spatial analysis of elderly access to primary care services. </w:t>
      </w:r>
      <w:r w:rsidRPr="001E2305">
        <w:rPr>
          <w:b/>
          <w:bCs/>
        </w:rPr>
        <w:t>International Journal of Health Geographics</w:t>
      </w:r>
      <w:r>
        <w:t>, Nova York, v. 5, n. 19, 2006.</w:t>
      </w:r>
    </w:p>
    <w:p w14:paraId="263C71C2" w14:textId="77777777" w:rsidR="00F87E2E" w:rsidRPr="001E5AAB" w:rsidRDefault="00F87E2E" w:rsidP="009706E0">
      <w:pPr>
        <w:spacing w:after="120"/>
        <w:jc w:val="left"/>
      </w:pPr>
      <w:r>
        <w:t xml:space="preserve">OCDE (2019), </w:t>
      </w:r>
      <w:r w:rsidRPr="009918F8">
        <w:rPr>
          <w:b/>
        </w:rPr>
        <w:t>Portugal: Perfil de Saúde do País 2019</w:t>
      </w:r>
      <w:r>
        <w:t>, Estado da Saúde na UE, Bruxelas.</w:t>
      </w:r>
      <w:r w:rsidRPr="001E2305">
        <w:t xml:space="preserve"> Disponível em:</w:t>
      </w:r>
      <w:r>
        <w:t xml:space="preserve"> </w:t>
      </w:r>
      <w:r w:rsidRPr="001E2305">
        <w:t>&lt; https://ec.europa.eu/health/state/country_profiles_pt</w:t>
      </w:r>
      <w:r>
        <w:t xml:space="preserve"> &gt;. </w:t>
      </w:r>
      <w:r w:rsidRPr="001E5AAB">
        <w:t>Acesso em: 2 maio 2021.</w:t>
      </w:r>
    </w:p>
    <w:p w14:paraId="234F2BDB" w14:textId="0AA1F896" w:rsidR="00F87E2E" w:rsidRPr="00B80585" w:rsidRDefault="00F87E2E" w:rsidP="009706E0">
      <w:pPr>
        <w:spacing w:after="120"/>
        <w:jc w:val="left"/>
        <w:rPr>
          <w:lang w:val="en-GB"/>
        </w:rPr>
      </w:pPr>
      <w:r w:rsidRPr="009918F8">
        <w:rPr>
          <w:caps/>
        </w:rPr>
        <w:t>Serviço Nacional de Saúde</w:t>
      </w:r>
      <w:r>
        <w:t xml:space="preserve">, </w:t>
      </w:r>
      <w:r w:rsidR="009918F8" w:rsidRPr="009918F8">
        <w:rPr>
          <w:b/>
        </w:rPr>
        <w:t>PRESTADORES DE CUIDADOS DE SAÚDE</w:t>
      </w:r>
      <w:r w:rsidR="009918F8">
        <w:t xml:space="preserve">. </w:t>
      </w:r>
      <w:r>
        <w:t xml:space="preserve">Lisboa, 2019. Disponível em: &lt;https://bit.ly/36gwKg5&gt;. </w:t>
      </w:r>
      <w:r w:rsidRPr="00B80585">
        <w:rPr>
          <w:lang w:val="en-GB"/>
        </w:rPr>
        <w:t xml:space="preserve">Acesso </w:t>
      </w:r>
      <w:proofErr w:type="spellStart"/>
      <w:r w:rsidRPr="00B80585">
        <w:rPr>
          <w:lang w:val="en-GB"/>
        </w:rPr>
        <w:t>em</w:t>
      </w:r>
      <w:proofErr w:type="spellEnd"/>
      <w:r w:rsidRPr="00B80585">
        <w:rPr>
          <w:lang w:val="en-GB"/>
        </w:rPr>
        <w:t xml:space="preserve">: 5 </w:t>
      </w:r>
      <w:proofErr w:type="spellStart"/>
      <w:r w:rsidRPr="00B80585">
        <w:rPr>
          <w:lang w:val="en-GB"/>
        </w:rPr>
        <w:t>nov.</w:t>
      </w:r>
      <w:proofErr w:type="spellEnd"/>
      <w:r w:rsidRPr="00B80585">
        <w:rPr>
          <w:lang w:val="en-GB"/>
        </w:rPr>
        <w:t xml:space="preserve"> 2019.</w:t>
      </w:r>
    </w:p>
    <w:p w14:paraId="13E7998A" w14:textId="71427767" w:rsidR="00A32EB3" w:rsidRPr="00E92DB5" w:rsidRDefault="00755860" w:rsidP="009706E0">
      <w:pPr>
        <w:spacing w:after="120"/>
        <w:jc w:val="left"/>
        <w:rPr>
          <w:rFonts w:cstheme="minorHAnsi"/>
          <w:bCs/>
          <w:sz w:val="24"/>
          <w:lang w:val="en-GB"/>
        </w:rPr>
      </w:pPr>
      <w:r w:rsidRPr="00B80585">
        <w:rPr>
          <w:shd w:val="clear" w:color="auto" w:fill="FFFFFF"/>
          <w:lang w:val="en-GB"/>
        </w:rPr>
        <w:lastRenderedPageBreak/>
        <w:t>RUEDA, S.; ARTAZCOZ, L.; NAVARRO, V</w:t>
      </w:r>
      <w:r w:rsidR="00F87E2E" w:rsidRPr="00B80585">
        <w:rPr>
          <w:shd w:val="clear" w:color="auto" w:fill="FFFFFF"/>
          <w:lang w:val="en-GB"/>
        </w:rPr>
        <w:t>. Health inequalities among the elderly in western Europe</w:t>
      </w:r>
      <w:r w:rsidR="00F87E2E" w:rsidRPr="00B80585">
        <w:rPr>
          <w:i/>
          <w:iCs/>
          <w:shd w:val="clear" w:color="auto" w:fill="FFFFFF"/>
          <w:lang w:val="en-GB"/>
        </w:rPr>
        <w:t xml:space="preserve">. </w:t>
      </w:r>
      <w:r w:rsidR="00F87E2E" w:rsidRPr="001E2305">
        <w:rPr>
          <w:b/>
          <w:bCs/>
          <w:shd w:val="clear" w:color="auto" w:fill="FFFFFF"/>
          <w:lang w:val="en-GB"/>
        </w:rPr>
        <w:t>Journal of Epidemiology Community Health</w:t>
      </w:r>
      <w:r w:rsidR="00F87E2E" w:rsidRPr="001E2305">
        <w:rPr>
          <w:i/>
          <w:iCs/>
          <w:shd w:val="clear" w:color="auto" w:fill="FFFFFF"/>
          <w:lang w:val="en-GB"/>
        </w:rPr>
        <w:t xml:space="preserve">. </w:t>
      </w:r>
      <w:proofErr w:type="spellStart"/>
      <w:r w:rsidR="00F87E2E" w:rsidRPr="001E2305">
        <w:rPr>
          <w:shd w:val="clear" w:color="auto" w:fill="FFFFFF"/>
          <w:lang w:val="en-GB"/>
        </w:rPr>
        <w:t>Londres</w:t>
      </w:r>
      <w:proofErr w:type="spellEnd"/>
      <w:r w:rsidR="00F87E2E" w:rsidRPr="001E2305">
        <w:rPr>
          <w:shd w:val="clear" w:color="auto" w:fill="FFFFFF"/>
          <w:lang w:val="en-GB"/>
        </w:rPr>
        <w:t>, v. 6, n.62, p. 492-8, 2008. doi:10.1136/jech.2006.059279.</w:t>
      </w:r>
    </w:p>
    <w:sectPr w:rsidR="00A32EB3" w:rsidRPr="00E92DB5" w:rsidSect="009706E0">
      <w:headerReference w:type="default" r:id="rId12"/>
      <w:footerReference w:type="default" r:id="rId13"/>
      <w:headerReference w:type="first" r:id="rId14"/>
      <w:footerReference w:type="first" r:id="rId15"/>
      <w:pgSz w:w="11906" w:h="16838"/>
      <w:pgMar w:top="1418" w:right="1134" w:bottom="1418" w:left="1701" w:header="850" w:footer="850" w:gutter="0"/>
      <w:pgNumType w:start="20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DE1A7" w14:textId="77777777" w:rsidR="000C4662" w:rsidRDefault="000C4662" w:rsidP="00D435F4">
      <w:pPr>
        <w:spacing w:after="0" w:line="240" w:lineRule="auto"/>
      </w:pPr>
      <w:r>
        <w:separator/>
      </w:r>
    </w:p>
  </w:endnote>
  <w:endnote w:type="continuationSeparator" w:id="0">
    <w:p w14:paraId="43779848" w14:textId="77777777" w:rsidR="000C4662" w:rsidRDefault="000C4662" w:rsidP="00D43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6464"/>
      <w:docPartObj>
        <w:docPartGallery w:val="Page Numbers (Bottom of Page)"/>
        <w:docPartUnique/>
      </w:docPartObj>
    </w:sdtPr>
    <w:sdtContent>
      <w:p w14:paraId="1A1E4631" w14:textId="023A9609" w:rsidR="009706E0" w:rsidRDefault="009706E0">
        <w:pPr>
          <w:pStyle w:val="Rodap"/>
          <w:jc w:val="right"/>
        </w:pPr>
        <w:r>
          <w:fldChar w:fldCharType="begin"/>
        </w:r>
        <w:r>
          <w:instrText>PAGE   \* MERGEFORMAT</w:instrText>
        </w:r>
        <w:r>
          <w:fldChar w:fldCharType="separate"/>
        </w:r>
        <w:r>
          <w:rPr>
            <w:lang w:val="pt-BR"/>
          </w:rPr>
          <w:t>2</w:t>
        </w:r>
        <w:r>
          <w:fldChar w:fldCharType="end"/>
        </w:r>
      </w:p>
    </w:sdtContent>
  </w:sdt>
  <w:p w14:paraId="0DF6A4A4" w14:textId="1DA17A85" w:rsidR="003D469A" w:rsidRDefault="003D469A" w:rsidP="003D469A">
    <w:pPr>
      <w:pStyle w:val="Rodap"/>
      <w:tabs>
        <w:tab w:val="clear" w:pos="8504"/>
        <w:tab w:val="right" w:pos="907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A71A6" w14:textId="18B1437F" w:rsidR="003D469A" w:rsidRPr="00FE4039" w:rsidRDefault="003D469A" w:rsidP="00B80585">
    <w:pPr>
      <w:pStyle w:val="Rodap"/>
      <w:tabs>
        <w:tab w:val="clear" w:pos="8504"/>
        <w:tab w:val="right" w:pos="9071"/>
      </w:tabs>
      <w:rPr>
        <w:rFonts w:cs="Arial"/>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3E278" w14:textId="77777777" w:rsidR="000C4662" w:rsidRDefault="000C4662" w:rsidP="00D435F4">
      <w:pPr>
        <w:spacing w:after="0" w:line="240" w:lineRule="auto"/>
      </w:pPr>
      <w:r>
        <w:separator/>
      </w:r>
    </w:p>
  </w:footnote>
  <w:footnote w:type="continuationSeparator" w:id="0">
    <w:p w14:paraId="7360C67A" w14:textId="77777777" w:rsidR="000C4662" w:rsidRDefault="000C4662" w:rsidP="00D435F4">
      <w:pPr>
        <w:spacing w:after="0" w:line="240" w:lineRule="auto"/>
      </w:pPr>
      <w:r>
        <w:continuationSeparator/>
      </w:r>
    </w:p>
  </w:footnote>
  <w:footnote w:id="1">
    <w:p w14:paraId="21897799" w14:textId="7CAA5B4A" w:rsidR="00B80585" w:rsidRDefault="00B80585">
      <w:pPr>
        <w:pStyle w:val="Textodenotaderodap"/>
      </w:pPr>
      <w:r>
        <w:rPr>
          <w:rStyle w:val="Refdenotaderodap"/>
        </w:rPr>
        <w:footnoteRef/>
      </w:r>
      <w:r>
        <w:rPr>
          <w:rFonts w:cs="Arial"/>
        </w:rPr>
        <w:t xml:space="preserve">Professora </w:t>
      </w:r>
      <w:r w:rsidRPr="00154FC8">
        <w:rPr>
          <w:rFonts w:cs="Arial"/>
        </w:rPr>
        <w:t>Doutora em Geografia (Universidade de Lisboa – Portugal, e-mail: eduarda.costa@campus.ul.pt)</w:t>
      </w:r>
    </w:p>
  </w:footnote>
  <w:footnote w:id="2">
    <w:p w14:paraId="63C6983C" w14:textId="4E65E6EA" w:rsidR="00B80585" w:rsidRDefault="00B80585">
      <w:pPr>
        <w:pStyle w:val="Textodenotaderodap"/>
      </w:pPr>
      <w:r>
        <w:rPr>
          <w:rStyle w:val="Refdenotaderodap"/>
        </w:rPr>
        <w:footnoteRef/>
      </w:r>
      <w:r>
        <w:t xml:space="preserve"> </w:t>
      </w:r>
      <w:r w:rsidRPr="00154FC8">
        <w:rPr>
          <w:rFonts w:cs="Arial"/>
        </w:rPr>
        <w:t>Doutora em Geografia (Universidade de Lisboa – Portugal, e-mail: analouro@campus.ul.pt)</w:t>
      </w:r>
    </w:p>
  </w:footnote>
  <w:footnote w:id="3">
    <w:p w14:paraId="06AA02D5" w14:textId="5B15EBE8" w:rsidR="00B80585" w:rsidRPr="00B80585" w:rsidRDefault="00B80585" w:rsidP="00B80585">
      <w:pPr>
        <w:pStyle w:val="Rodap"/>
        <w:tabs>
          <w:tab w:val="clear" w:pos="8504"/>
          <w:tab w:val="right" w:pos="9071"/>
        </w:tabs>
        <w:rPr>
          <w:rFonts w:cs="Arial"/>
          <w:vertAlign w:val="superscript"/>
        </w:rPr>
      </w:pPr>
      <w:r>
        <w:rPr>
          <w:rStyle w:val="Refdenotaderodap"/>
        </w:rPr>
        <w:footnoteRef/>
      </w:r>
      <w:r>
        <w:t xml:space="preserve"> </w:t>
      </w:r>
      <w:r w:rsidRPr="00154FC8">
        <w:rPr>
          <w:rFonts w:cs="Arial"/>
          <w:sz w:val="20"/>
          <w:szCs w:val="20"/>
        </w:rPr>
        <w:t>Mestre em SIGMOT (Universidade de Lisboa – Portugal, e-mail: marcelabarata@campus.ul.pt)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A928" w14:textId="7E0199F3" w:rsidR="001727AF" w:rsidRDefault="00DD7A23" w:rsidP="00154FC8">
    <w:pPr>
      <w:pStyle w:val="Cabealho"/>
      <w:spacing w:before="120" w:after="120"/>
      <w:rPr>
        <w:rFonts w:cs="Arial"/>
        <w:sz w:val="20"/>
      </w:rPr>
    </w:pPr>
    <w:r>
      <w:rPr>
        <w:noProof/>
      </w:rPr>
      <w:drawing>
        <wp:inline distT="0" distB="0" distL="0" distR="0" wp14:anchorId="46CB2F8C" wp14:editId="04D5FAD5">
          <wp:extent cx="5760085" cy="130238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7147567E" w14:textId="09EE4BE8" w:rsidR="009706E0" w:rsidRPr="001233EB" w:rsidRDefault="009706E0" w:rsidP="009706E0">
    <w:pPr>
      <w:spacing w:before="120" w:after="120" w:line="276" w:lineRule="auto"/>
      <w:ind w:right="-1"/>
      <w:rPr>
        <w:b/>
        <w:bCs/>
        <w:color w:val="000000"/>
        <w:sz w:val="16"/>
        <w:szCs w:val="16"/>
      </w:rPr>
    </w:pPr>
    <w:r>
      <w:rPr>
        <w:color w:val="000000"/>
        <w:sz w:val="16"/>
        <w:szCs w:val="16"/>
      </w:rPr>
      <w:t>COSTA, E.P.V.S.M; MARTINS, A.I.M.L; BARATA, M.S.S.</w:t>
    </w:r>
    <w:r>
      <w:rPr>
        <w:color w:val="000000"/>
        <w:sz w:val="16"/>
        <w:szCs w:val="16"/>
      </w:rPr>
      <w:t xml:space="preserve"> </w:t>
    </w:r>
    <w:r>
      <w:rPr>
        <w:b/>
        <w:bCs/>
        <w:color w:val="000000"/>
        <w:sz w:val="16"/>
        <w:szCs w:val="16"/>
      </w:rPr>
      <w:t xml:space="preserve">Iniquidades no acesso dos idosos a cuidados de saúde primários: </w:t>
    </w:r>
    <w:r>
      <w:rPr>
        <w:color w:val="000000"/>
        <w:sz w:val="16"/>
        <w:szCs w:val="16"/>
      </w:rPr>
      <w:t>o efeito do modelo de urbanização na área metropolitana de Lisboa, Portugal</w:t>
    </w:r>
    <w:r>
      <w:rPr>
        <w:rFonts w:cs="Arial"/>
        <w:b/>
        <w:bCs/>
        <w:color w:val="000000"/>
        <w:sz w:val="16"/>
        <w:szCs w:val="16"/>
      </w:rPr>
      <w:t>.</w:t>
    </w:r>
    <w:r w:rsidRPr="00137462">
      <w:rPr>
        <w:rFonts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208-219</w:t>
    </w:r>
    <w:r w:rsidRPr="00137462">
      <w:rPr>
        <w:rFonts w:cs="Arial"/>
        <w:color w:val="000000"/>
        <w:sz w:val="16"/>
        <w:szCs w:val="16"/>
      </w:rPr>
      <w:t xml:space="preserve">.  Disponível em </w:t>
    </w:r>
    <w:hyperlink r:id="rId2" w:history="1">
      <w:r w:rsidRPr="00137462">
        <w:rPr>
          <w:rStyle w:val="Hyperlink"/>
          <w:rFonts w:cs="Arial"/>
          <w:sz w:val="16"/>
          <w:szCs w:val="16"/>
        </w:rPr>
        <w:t>https://www.anaisgeosaude.com</w:t>
      </w:r>
    </w:hyperlink>
    <w:r w:rsidRPr="00137462">
      <w:rPr>
        <w:rFonts w:cs="Arial"/>
        <w:color w:val="000000"/>
        <w:sz w:val="16"/>
        <w:szCs w:val="16"/>
      </w:rPr>
      <w:t xml:space="preserve">.  </w:t>
    </w:r>
    <w:r w:rsidRPr="00137462">
      <w:rPr>
        <w:rFonts w:cs="Arial"/>
        <w:b/>
        <w:bCs/>
        <w:color w:val="000000"/>
        <w:sz w:val="16"/>
        <w:szCs w:val="16"/>
      </w:rPr>
      <w:t>ISSN 1980-5829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3662289"/>
      <w:docPartObj>
        <w:docPartGallery w:val="Page Numbers (Top of Page)"/>
        <w:docPartUnique/>
      </w:docPartObj>
    </w:sdtPr>
    <w:sdtEndPr/>
    <w:sdtContent>
      <w:p w14:paraId="0750BF39" w14:textId="7756C380" w:rsidR="00A97BC3" w:rsidRDefault="00A97BC3">
        <w:pPr>
          <w:pStyle w:val="Cabealho"/>
          <w:jc w:val="right"/>
        </w:pPr>
        <w:r>
          <w:fldChar w:fldCharType="begin"/>
        </w:r>
        <w:r>
          <w:instrText>PAGE   \* MERGEFORMAT</w:instrText>
        </w:r>
        <w:r>
          <w:fldChar w:fldCharType="separate"/>
        </w:r>
        <w:r>
          <w:t>2</w:t>
        </w:r>
        <w:r>
          <w:fldChar w:fldCharType="end"/>
        </w:r>
      </w:p>
    </w:sdtContent>
  </w:sdt>
  <w:p w14:paraId="6153FF11" w14:textId="0F5DD3C7" w:rsidR="003D469A" w:rsidRDefault="00DD7A23">
    <w:pPr>
      <w:pStyle w:val="Cabealho"/>
    </w:pPr>
    <w:r>
      <w:rPr>
        <w:noProof/>
      </w:rPr>
      <w:drawing>
        <wp:inline distT="0" distB="0" distL="0" distR="0" wp14:anchorId="0096CDD0" wp14:editId="70929E37">
          <wp:extent cx="5760085" cy="130238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2D77C9F5" w14:textId="77777777" w:rsidR="009706E0" w:rsidRPr="001233EB" w:rsidRDefault="009706E0" w:rsidP="009706E0">
    <w:pPr>
      <w:spacing w:before="120" w:after="120" w:line="276" w:lineRule="auto"/>
      <w:ind w:right="-1"/>
      <w:rPr>
        <w:b/>
        <w:bCs/>
        <w:color w:val="000000"/>
        <w:sz w:val="16"/>
        <w:szCs w:val="16"/>
      </w:rPr>
    </w:pPr>
    <w:r>
      <w:rPr>
        <w:color w:val="000000"/>
        <w:sz w:val="16"/>
        <w:szCs w:val="16"/>
      </w:rPr>
      <w:t xml:space="preserve">OLIVEIRA, B.G.; DA ANUNCIAÇÃO, V.S. </w:t>
    </w:r>
    <w:r>
      <w:rPr>
        <w:b/>
        <w:bCs/>
        <w:color w:val="000000"/>
        <w:sz w:val="16"/>
        <w:szCs w:val="16"/>
      </w:rPr>
      <w:t>Focos de calor, queimadas e problemas respiratórios em Campo Grande-MS no período de 2014-2020</w:t>
    </w:r>
    <w:r>
      <w:rPr>
        <w:rFonts w:cs="Arial"/>
        <w:b/>
        <w:bCs/>
        <w:color w:val="000000"/>
        <w:sz w:val="16"/>
        <w:szCs w:val="16"/>
      </w:rPr>
      <w:t>.</w:t>
    </w:r>
    <w:r w:rsidRPr="00137462">
      <w:rPr>
        <w:rFonts w:cs="Arial"/>
        <w:color w:val="000000"/>
        <w:sz w:val="16"/>
        <w:szCs w:val="16"/>
      </w:rPr>
      <w:t xml:space="preserve"> In. Simpósio Nacional de Geografia da Saúde: dimensões geográficas dos impactos e desafios das pandemias. X., 2021, Campina Grande. Anais [...]. Campina Grande: UFCG, 2021. p.</w:t>
    </w:r>
    <w:r>
      <w:rPr>
        <w:color w:val="000000"/>
        <w:sz w:val="16"/>
        <w:szCs w:val="16"/>
      </w:rPr>
      <w:t>197-207</w:t>
    </w:r>
    <w:r w:rsidRPr="00137462">
      <w:rPr>
        <w:rFonts w:cs="Arial"/>
        <w:color w:val="000000"/>
        <w:sz w:val="16"/>
        <w:szCs w:val="16"/>
      </w:rPr>
      <w:t xml:space="preserve">.  Disponível em </w:t>
    </w:r>
    <w:hyperlink r:id="rId2" w:history="1">
      <w:r w:rsidRPr="00137462">
        <w:rPr>
          <w:rStyle w:val="Hyperlink"/>
          <w:rFonts w:cs="Arial"/>
          <w:sz w:val="16"/>
          <w:szCs w:val="16"/>
        </w:rPr>
        <w:t>https://www.anaisgeosaude.com</w:t>
      </w:r>
    </w:hyperlink>
    <w:r w:rsidRPr="00137462">
      <w:rPr>
        <w:rFonts w:cs="Arial"/>
        <w:color w:val="000000"/>
        <w:sz w:val="16"/>
        <w:szCs w:val="16"/>
      </w:rPr>
      <w:t xml:space="preserve">.  </w:t>
    </w:r>
    <w:r w:rsidRPr="00137462">
      <w:rPr>
        <w:rFonts w:cs="Arial"/>
        <w:b/>
        <w:bCs/>
        <w:color w:val="000000"/>
        <w:sz w:val="16"/>
        <w:szCs w:val="16"/>
      </w:rPr>
      <w:t>ISSN 1980-5829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6876"/>
    <w:multiLevelType w:val="hybridMultilevel"/>
    <w:tmpl w:val="1020DF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4AA417A"/>
    <w:multiLevelType w:val="hybridMultilevel"/>
    <w:tmpl w:val="10529348"/>
    <w:lvl w:ilvl="0" w:tplc="DC74DDAC">
      <w:start w:val="1"/>
      <w:numFmt w:val="decimal"/>
      <w:lvlText w:val="%1."/>
      <w:lvlJc w:val="left"/>
      <w:pPr>
        <w:ind w:left="720" w:hanging="360"/>
      </w:pPr>
      <w:rPr>
        <w:rFonts w:hint="default"/>
        <w:vertAlign w:val="superscrip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2A4D1261"/>
    <w:multiLevelType w:val="hybridMultilevel"/>
    <w:tmpl w:val="1020DF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2EB"/>
    <w:rsid w:val="0000375F"/>
    <w:rsid w:val="00010247"/>
    <w:rsid w:val="00030888"/>
    <w:rsid w:val="00036256"/>
    <w:rsid w:val="000568D9"/>
    <w:rsid w:val="00064EF6"/>
    <w:rsid w:val="0007221A"/>
    <w:rsid w:val="0007665C"/>
    <w:rsid w:val="00090987"/>
    <w:rsid w:val="000A4DE6"/>
    <w:rsid w:val="000A7320"/>
    <w:rsid w:val="000B467D"/>
    <w:rsid w:val="000C2AB9"/>
    <w:rsid w:val="000C4662"/>
    <w:rsid w:val="00103FB1"/>
    <w:rsid w:val="0010409C"/>
    <w:rsid w:val="00150DE1"/>
    <w:rsid w:val="00154FC8"/>
    <w:rsid w:val="00156FD4"/>
    <w:rsid w:val="00163307"/>
    <w:rsid w:val="001727AF"/>
    <w:rsid w:val="00184416"/>
    <w:rsid w:val="001953BE"/>
    <w:rsid w:val="001A4876"/>
    <w:rsid w:val="001B4295"/>
    <w:rsid w:val="001B64AA"/>
    <w:rsid w:val="001C2731"/>
    <w:rsid w:val="001E5AAB"/>
    <w:rsid w:val="001E783D"/>
    <w:rsid w:val="001F187F"/>
    <w:rsid w:val="0020734C"/>
    <w:rsid w:val="00232F6F"/>
    <w:rsid w:val="00236415"/>
    <w:rsid w:val="00265B9E"/>
    <w:rsid w:val="00287BF6"/>
    <w:rsid w:val="002975B0"/>
    <w:rsid w:val="002B1615"/>
    <w:rsid w:val="002B2EE8"/>
    <w:rsid w:val="002B5536"/>
    <w:rsid w:val="002C23E2"/>
    <w:rsid w:val="002C3A93"/>
    <w:rsid w:val="002D1C9D"/>
    <w:rsid w:val="002D36CE"/>
    <w:rsid w:val="00312C0A"/>
    <w:rsid w:val="003219E3"/>
    <w:rsid w:val="00334282"/>
    <w:rsid w:val="0039311B"/>
    <w:rsid w:val="00394249"/>
    <w:rsid w:val="003B092F"/>
    <w:rsid w:val="003C2001"/>
    <w:rsid w:val="003D469A"/>
    <w:rsid w:val="003D6996"/>
    <w:rsid w:val="00400C04"/>
    <w:rsid w:val="00404351"/>
    <w:rsid w:val="00410C22"/>
    <w:rsid w:val="00417212"/>
    <w:rsid w:val="00425E47"/>
    <w:rsid w:val="00431891"/>
    <w:rsid w:val="004330F7"/>
    <w:rsid w:val="00437FA4"/>
    <w:rsid w:val="004602EB"/>
    <w:rsid w:val="0049318D"/>
    <w:rsid w:val="004A3F74"/>
    <w:rsid w:val="004C7D53"/>
    <w:rsid w:val="004F157B"/>
    <w:rsid w:val="004F75EA"/>
    <w:rsid w:val="00502CA1"/>
    <w:rsid w:val="0051032E"/>
    <w:rsid w:val="00515BD3"/>
    <w:rsid w:val="00524E5E"/>
    <w:rsid w:val="00530E5B"/>
    <w:rsid w:val="00566024"/>
    <w:rsid w:val="00573AD8"/>
    <w:rsid w:val="00582897"/>
    <w:rsid w:val="005D3347"/>
    <w:rsid w:val="005E0269"/>
    <w:rsid w:val="005E2FEB"/>
    <w:rsid w:val="005F17C2"/>
    <w:rsid w:val="005F71F8"/>
    <w:rsid w:val="00604453"/>
    <w:rsid w:val="00640D8A"/>
    <w:rsid w:val="00641F33"/>
    <w:rsid w:val="00652B2C"/>
    <w:rsid w:val="00655BFA"/>
    <w:rsid w:val="00684C4B"/>
    <w:rsid w:val="006961CD"/>
    <w:rsid w:val="006B1301"/>
    <w:rsid w:val="006D23B7"/>
    <w:rsid w:val="006E02EA"/>
    <w:rsid w:val="00700074"/>
    <w:rsid w:val="00710180"/>
    <w:rsid w:val="007107D9"/>
    <w:rsid w:val="00712420"/>
    <w:rsid w:val="007277C0"/>
    <w:rsid w:val="00755860"/>
    <w:rsid w:val="007766A2"/>
    <w:rsid w:val="00781344"/>
    <w:rsid w:val="007813CA"/>
    <w:rsid w:val="007825A0"/>
    <w:rsid w:val="0079506C"/>
    <w:rsid w:val="007F09DE"/>
    <w:rsid w:val="00810DCB"/>
    <w:rsid w:val="0082610F"/>
    <w:rsid w:val="0083646B"/>
    <w:rsid w:val="008367B9"/>
    <w:rsid w:val="008401D4"/>
    <w:rsid w:val="00875363"/>
    <w:rsid w:val="0088311A"/>
    <w:rsid w:val="008871E8"/>
    <w:rsid w:val="008909BB"/>
    <w:rsid w:val="008A4F1B"/>
    <w:rsid w:val="008E2EAE"/>
    <w:rsid w:val="008E4F2C"/>
    <w:rsid w:val="008F457F"/>
    <w:rsid w:val="009005E9"/>
    <w:rsid w:val="00921FF2"/>
    <w:rsid w:val="00924311"/>
    <w:rsid w:val="009316EC"/>
    <w:rsid w:val="00932D96"/>
    <w:rsid w:val="0094117D"/>
    <w:rsid w:val="009463AF"/>
    <w:rsid w:val="00946D7B"/>
    <w:rsid w:val="009706E0"/>
    <w:rsid w:val="00974ED1"/>
    <w:rsid w:val="009918F8"/>
    <w:rsid w:val="0099420F"/>
    <w:rsid w:val="009D435A"/>
    <w:rsid w:val="009D6520"/>
    <w:rsid w:val="009E37CC"/>
    <w:rsid w:val="009E5282"/>
    <w:rsid w:val="00A04E6A"/>
    <w:rsid w:val="00A32EB3"/>
    <w:rsid w:val="00A3494F"/>
    <w:rsid w:val="00A45A42"/>
    <w:rsid w:val="00A76199"/>
    <w:rsid w:val="00A81739"/>
    <w:rsid w:val="00A81C34"/>
    <w:rsid w:val="00A91CD6"/>
    <w:rsid w:val="00A9255F"/>
    <w:rsid w:val="00A97BC3"/>
    <w:rsid w:val="00AB6E2B"/>
    <w:rsid w:val="00AC772A"/>
    <w:rsid w:val="00B15DDE"/>
    <w:rsid w:val="00B234AC"/>
    <w:rsid w:val="00B25A23"/>
    <w:rsid w:val="00B31E6F"/>
    <w:rsid w:val="00B66624"/>
    <w:rsid w:val="00B701CB"/>
    <w:rsid w:val="00B80585"/>
    <w:rsid w:val="00B86F37"/>
    <w:rsid w:val="00B87614"/>
    <w:rsid w:val="00BC1729"/>
    <w:rsid w:val="00BF2E15"/>
    <w:rsid w:val="00C03D73"/>
    <w:rsid w:val="00C14E84"/>
    <w:rsid w:val="00C32E7C"/>
    <w:rsid w:val="00C379D5"/>
    <w:rsid w:val="00C94318"/>
    <w:rsid w:val="00CA1FB2"/>
    <w:rsid w:val="00CB17DE"/>
    <w:rsid w:val="00CC0B86"/>
    <w:rsid w:val="00CC0C26"/>
    <w:rsid w:val="00CC0DC8"/>
    <w:rsid w:val="00CC79AA"/>
    <w:rsid w:val="00CE4108"/>
    <w:rsid w:val="00D23DAF"/>
    <w:rsid w:val="00D363D7"/>
    <w:rsid w:val="00D435F4"/>
    <w:rsid w:val="00D60F01"/>
    <w:rsid w:val="00DA098F"/>
    <w:rsid w:val="00DB1638"/>
    <w:rsid w:val="00DB3C7C"/>
    <w:rsid w:val="00DD66EB"/>
    <w:rsid w:val="00DD7A23"/>
    <w:rsid w:val="00DF28CE"/>
    <w:rsid w:val="00DF2C24"/>
    <w:rsid w:val="00E01AF7"/>
    <w:rsid w:val="00E01E69"/>
    <w:rsid w:val="00E136D2"/>
    <w:rsid w:val="00E1687E"/>
    <w:rsid w:val="00E460F8"/>
    <w:rsid w:val="00E56799"/>
    <w:rsid w:val="00E92922"/>
    <w:rsid w:val="00E92DB5"/>
    <w:rsid w:val="00EA3A1F"/>
    <w:rsid w:val="00EB12F6"/>
    <w:rsid w:val="00EE43C5"/>
    <w:rsid w:val="00EE67B7"/>
    <w:rsid w:val="00EF4107"/>
    <w:rsid w:val="00F0547F"/>
    <w:rsid w:val="00F0742E"/>
    <w:rsid w:val="00F12FEC"/>
    <w:rsid w:val="00F316BE"/>
    <w:rsid w:val="00F3226A"/>
    <w:rsid w:val="00F55ADB"/>
    <w:rsid w:val="00F7587E"/>
    <w:rsid w:val="00F841DF"/>
    <w:rsid w:val="00F87E2E"/>
    <w:rsid w:val="00F9415C"/>
    <w:rsid w:val="00FB28E4"/>
    <w:rsid w:val="00FC0E9F"/>
    <w:rsid w:val="00FE4039"/>
    <w:rsid w:val="00FF01C4"/>
    <w:rsid w:val="00FF3680"/>
    <w:rsid w:val="00FF6A1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C8932"/>
  <w15:chartTrackingRefBased/>
  <w15:docId w15:val="{F40D3665-69ED-4E47-AB7D-D62BF4B0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8D9"/>
    <w:pPr>
      <w:jc w:val="both"/>
    </w:pPr>
    <w:rPr>
      <w:rFonts w:ascii="Arial" w:hAnsi="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435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35F4"/>
  </w:style>
  <w:style w:type="paragraph" w:styleId="Rodap">
    <w:name w:val="footer"/>
    <w:basedOn w:val="Normal"/>
    <w:link w:val="RodapChar"/>
    <w:uiPriority w:val="99"/>
    <w:unhideWhenUsed/>
    <w:rsid w:val="00D435F4"/>
    <w:pPr>
      <w:tabs>
        <w:tab w:val="center" w:pos="4252"/>
        <w:tab w:val="right" w:pos="8504"/>
      </w:tabs>
      <w:spacing w:after="0" w:line="240" w:lineRule="auto"/>
    </w:pPr>
  </w:style>
  <w:style w:type="character" w:customStyle="1" w:styleId="RodapChar">
    <w:name w:val="Rodapé Char"/>
    <w:basedOn w:val="Fontepargpadro"/>
    <w:link w:val="Rodap"/>
    <w:uiPriority w:val="99"/>
    <w:rsid w:val="00D435F4"/>
  </w:style>
  <w:style w:type="character" w:styleId="Refdecomentrio">
    <w:name w:val="annotation reference"/>
    <w:basedOn w:val="Fontepargpadro"/>
    <w:uiPriority w:val="99"/>
    <w:semiHidden/>
    <w:unhideWhenUsed/>
    <w:rsid w:val="0099420F"/>
    <w:rPr>
      <w:sz w:val="16"/>
      <w:szCs w:val="16"/>
    </w:rPr>
  </w:style>
  <w:style w:type="paragraph" w:styleId="Textodecomentrio">
    <w:name w:val="annotation text"/>
    <w:basedOn w:val="Normal"/>
    <w:link w:val="TextodecomentrioChar"/>
    <w:uiPriority w:val="99"/>
    <w:unhideWhenUsed/>
    <w:rsid w:val="0099420F"/>
    <w:pPr>
      <w:spacing w:line="240" w:lineRule="auto"/>
    </w:pPr>
    <w:rPr>
      <w:sz w:val="20"/>
      <w:szCs w:val="20"/>
    </w:rPr>
  </w:style>
  <w:style w:type="character" w:customStyle="1" w:styleId="TextodecomentrioChar">
    <w:name w:val="Texto de comentário Char"/>
    <w:basedOn w:val="Fontepargpadro"/>
    <w:link w:val="Textodecomentrio"/>
    <w:uiPriority w:val="99"/>
    <w:rsid w:val="0099420F"/>
    <w:rPr>
      <w:sz w:val="20"/>
      <w:szCs w:val="20"/>
    </w:rPr>
  </w:style>
  <w:style w:type="paragraph" w:styleId="Assuntodocomentrio">
    <w:name w:val="annotation subject"/>
    <w:basedOn w:val="Textodecomentrio"/>
    <w:next w:val="Textodecomentrio"/>
    <w:link w:val="AssuntodocomentrioChar"/>
    <w:uiPriority w:val="99"/>
    <w:semiHidden/>
    <w:unhideWhenUsed/>
    <w:rsid w:val="0099420F"/>
    <w:rPr>
      <w:b/>
      <w:bCs/>
    </w:rPr>
  </w:style>
  <w:style w:type="character" w:customStyle="1" w:styleId="AssuntodocomentrioChar">
    <w:name w:val="Assunto do comentário Char"/>
    <w:basedOn w:val="TextodecomentrioChar"/>
    <w:link w:val="Assuntodocomentrio"/>
    <w:uiPriority w:val="99"/>
    <w:semiHidden/>
    <w:rsid w:val="0099420F"/>
    <w:rPr>
      <w:b/>
      <w:bCs/>
      <w:sz w:val="20"/>
      <w:szCs w:val="20"/>
    </w:rPr>
  </w:style>
  <w:style w:type="paragraph" w:styleId="Textodebalo">
    <w:name w:val="Balloon Text"/>
    <w:basedOn w:val="Normal"/>
    <w:link w:val="TextodebaloChar"/>
    <w:uiPriority w:val="99"/>
    <w:semiHidden/>
    <w:unhideWhenUsed/>
    <w:rsid w:val="0099420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9420F"/>
    <w:rPr>
      <w:rFonts w:ascii="Segoe UI" w:hAnsi="Segoe UI" w:cs="Segoe UI"/>
      <w:sz w:val="18"/>
      <w:szCs w:val="18"/>
    </w:rPr>
  </w:style>
  <w:style w:type="character" w:styleId="Hyperlink">
    <w:name w:val="Hyperlink"/>
    <w:basedOn w:val="Fontepargpadro"/>
    <w:uiPriority w:val="99"/>
    <w:unhideWhenUsed/>
    <w:rsid w:val="00FE4039"/>
    <w:rPr>
      <w:color w:val="0563C1" w:themeColor="hyperlink"/>
      <w:u w:val="single"/>
    </w:rPr>
  </w:style>
  <w:style w:type="paragraph" w:customStyle="1" w:styleId="Estilo1">
    <w:name w:val="Estilo1"/>
    <w:basedOn w:val="Normal"/>
    <w:link w:val="Estilo1Carter"/>
    <w:qFormat/>
    <w:rsid w:val="00FF6A10"/>
    <w:pPr>
      <w:autoSpaceDE w:val="0"/>
      <w:autoSpaceDN w:val="0"/>
      <w:adjustRightInd w:val="0"/>
      <w:spacing w:after="0" w:line="240" w:lineRule="auto"/>
    </w:pPr>
    <w:rPr>
      <w:b/>
      <w:color w:val="7030A0"/>
      <w:sz w:val="28"/>
    </w:rPr>
  </w:style>
  <w:style w:type="paragraph" w:styleId="PargrafodaLista">
    <w:name w:val="List Paragraph"/>
    <w:basedOn w:val="Normal"/>
    <w:uiPriority w:val="34"/>
    <w:qFormat/>
    <w:rsid w:val="00B31E6F"/>
    <w:pPr>
      <w:ind w:left="720"/>
      <w:contextualSpacing/>
    </w:pPr>
  </w:style>
  <w:style w:type="character" w:customStyle="1" w:styleId="Estilo1Carter">
    <w:name w:val="Estilo1 Caráter"/>
    <w:basedOn w:val="Fontepargpadro"/>
    <w:link w:val="Estilo1"/>
    <w:rsid w:val="00FF6A10"/>
    <w:rPr>
      <w:b/>
      <w:color w:val="7030A0"/>
      <w:sz w:val="28"/>
    </w:rPr>
  </w:style>
  <w:style w:type="paragraph" w:styleId="Reviso">
    <w:name w:val="Revision"/>
    <w:hidden/>
    <w:uiPriority w:val="99"/>
    <w:semiHidden/>
    <w:rsid w:val="00425E47"/>
    <w:pPr>
      <w:spacing w:after="0" w:line="240" w:lineRule="auto"/>
    </w:pPr>
  </w:style>
  <w:style w:type="paragraph" w:styleId="Legenda">
    <w:name w:val="caption"/>
    <w:basedOn w:val="Normal"/>
    <w:next w:val="Normal"/>
    <w:uiPriority w:val="35"/>
    <w:unhideWhenUsed/>
    <w:qFormat/>
    <w:rsid w:val="00E92DB5"/>
    <w:pPr>
      <w:spacing w:after="200" w:line="240" w:lineRule="auto"/>
    </w:pPr>
    <w:rPr>
      <w:i/>
      <w:iCs/>
      <w:color w:val="44546A" w:themeColor="text2"/>
      <w:sz w:val="18"/>
      <w:szCs w:val="18"/>
    </w:rPr>
  </w:style>
  <w:style w:type="paragraph" w:styleId="Textodenotaderodap">
    <w:name w:val="footnote text"/>
    <w:basedOn w:val="Normal"/>
    <w:link w:val="TextodenotaderodapChar"/>
    <w:uiPriority w:val="99"/>
    <w:semiHidden/>
    <w:unhideWhenUsed/>
    <w:rsid w:val="00B8058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0585"/>
    <w:rPr>
      <w:rFonts w:ascii="Arial" w:hAnsi="Arial"/>
      <w:sz w:val="20"/>
      <w:szCs w:val="20"/>
    </w:rPr>
  </w:style>
  <w:style w:type="character" w:styleId="Refdenotaderodap">
    <w:name w:val="footnote reference"/>
    <w:basedOn w:val="Fontepargpadro"/>
    <w:uiPriority w:val="99"/>
    <w:semiHidden/>
    <w:unhideWhenUsed/>
    <w:rsid w:val="00B8058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90/s0104-1290202020010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DF3EA-8BE9-4205-B93F-D04B9D99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12</Pages>
  <Words>3695</Words>
  <Characters>19954</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Sofia Santos Barata</dc:creator>
  <cp:keywords/>
  <dc:description/>
  <cp:lastModifiedBy>XISTO SOUZA JÚNIOR</cp:lastModifiedBy>
  <cp:revision>22</cp:revision>
  <cp:lastPrinted>2021-05-28T19:04:00Z</cp:lastPrinted>
  <dcterms:created xsi:type="dcterms:W3CDTF">2021-05-30T16:15:00Z</dcterms:created>
  <dcterms:modified xsi:type="dcterms:W3CDTF">2021-08-14T14:10:00Z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b3dc827b-37c6-395b-8a35-aeae72e46f87</vt:lpwstr>
  </property>
</Properties>
</file>