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7D406" w14:textId="77777777" w:rsidR="002D2357" w:rsidRPr="004E6F9F" w:rsidRDefault="002D2357" w:rsidP="005B16DD">
      <w:pPr>
        <w:spacing w:before="120" w:after="120" w:line="240" w:lineRule="auto"/>
        <w:jc w:val="center"/>
        <w:rPr>
          <w:rFonts w:ascii="Arial" w:hAnsi="Arial" w:cs="Arial"/>
          <w:b/>
          <w:caps/>
        </w:rPr>
      </w:pPr>
      <w:r w:rsidRPr="004E6F9F">
        <w:rPr>
          <w:rFonts w:ascii="Arial" w:hAnsi="Arial" w:cs="Arial"/>
          <w:b/>
          <w:caps/>
        </w:rPr>
        <w:t xml:space="preserve">Tendência das taxas de homicídio em Santa Catarina, </w:t>
      </w:r>
    </w:p>
    <w:p w14:paraId="556DCB36" w14:textId="77777777" w:rsidR="002D2357" w:rsidRPr="004E6F9F" w:rsidRDefault="002D2357" w:rsidP="005B16DD">
      <w:pPr>
        <w:spacing w:before="120" w:after="120" w:line="240" w:lineRule="auto"/>
        <w:jc w:val="center"/>
        <w:rPr>
          <w:rFonts w:ascii="Arial" w:hAnsi="Arial" w:cs="Arial"/>
          <w:caps/>
        </w:rPr>
      </w:pPr>
      <w:r w:rsidRPr="004E6F9F">
        <w:rPr>
          <w:rFonts w:ascii="Arial" w:hAnsi="Arial" w:cs="Arial"/>
          <w:b/>
          <w:caps/>
        </w:rPr>
        <w:t>por microrregiões: 1996 a 2019</w:t>
      </w:r>
    </w:p>
    <w:p w14:paraId="7019B912" w14:textId="77777777" w:rsidR="002D2357" w:rsidRPr="004E6F9F" w:rsidRDefault="002D2357" w:rsidP="005B16DD">
      <w:pPr>
        <w:spacing w:before="120" w:after="120" w:line="240" w:lineRule="auto"/>
        <w:jc w:val="right"/>
        <w:rPr>
          <w:rFonts w:ascii="Arial" w:hAnsi="Arial" w:cs="Arial"/>
          <w:sz w:val="20"/>
          <w:szCs w:val="20"/>
        </w:rPr>
      </w:pPr>
    </w:p>
    <w:p w14:paraId="25DDDB4E" w14:textId="77777777" w:rsidR="002D2357" w:rsidRPr="004E6F9F" w:rsidRDefault="002D2357" w:rsidP="005B16DD">
      <w:pPr>
        <w:spacing w:before="120" w:after="120" w:line="240" w:lineRule="auto"/>
        <w:jc w:val="right"/>
        <w:rPr>
          <w:rFonts w:ascii="Arial" w:hAnsi="Arial" w:cs="Arial"/>
          <w:sz w:val="20"/>
          <w:szCs w:val="20"/>
        </w:rPr>
      </w:pPr>
      <w:r w:rsidRPr="004E6F9F">
        <w:rPr>
          <w:rFonts w:ascii="Arial" w:hAnsi="Arial" w:cs="Arial"/>
          <w:sz w:val="20"/>
          <w:szCs w:val="20"/>
        </w:rPr>
        <w:t>BANDO, Daniel Hideki</w:t>
      </w:r>
      <w:r w:rsidRPr="004E6F9F">
        <w:rPr>
          <w:rStyle w:val="Refdenotaderodap"/>
          <w:rFonts w:ascii="Arial" w:hAnsi="Arial" w:cs="Arial"/>
          <w:sz w:val="20"/>
          <w:szCs w:val="20"/>
        </w:rPr>
        <w:footnoteReference w:id="1"/>
      </w:r>
    </w:p>
    <w:p w14:paraId="4B330B3D" w14:textId="77777777" w:rsidR="002D2357" w:rsidRPr="004E6F9F" w:rsidRDefault="002D2357" w:rsidP="005B16DD">
      <w:pPr>
        <w:spacing w:before="120" w:after="120" w:line="240" w:lineRule="auto"/>
        <w:jc w:val="right"/>
        <w:rPr>
          <w:rFonts w:ascii="Arial" w:hAnsi="Arial" w:cs="Arial"/>
          <w:sz w:val="20"/>
          <w:szCs w:val="20"/>
        </w:rPr>
      </w:pPr>
      <w:r w:rsidRPr="004E6F9F">
        <w:rPr>
          <w:rFonts w:ascii="Arial" w:hAnsi="Arial" w:cs="Arial"/>
          <w:sz w:val="20"/>
          <w:szCs w:val="20"/>
        </w:rPr>
        <w:t>GARCIA, Mariana Rangel</w:t>
      </w:r>
      <w:r w:rsidRPr="004E6F9F">
        <w:rPr>
          <w:rStyle w:val="Refdenotaderodap"/>
          <w:rFonts w:ascii="Arial" w:hAnsi="Arial" w:cs="Arial"/>
          <w:sz w:val="20"/>
          <w:szCs w:val="20"/>
        </w:rPr>
        <w:footnoteReference w:id="2"/>
      </w:r>
    </w:p>
    <w:p w14:paraId="0042FD14" w14:textId="77777777" w:rsidR="002D2357" w:rsidRPr="004E6F9F" w:rsidRDefault="002D2357" w:rsidP="005B16DD">
      <w:pPr>
        <w:spacing w:before="120" w:after="120" w:line="240" w:lineRule="auto"/>
        <w:jc w:val="right"/>
        <w:rPr>
          <w:rFonts w:ascii="Arial" w:hAnsi="Arial" w:cs="Arial"/>
          <w:sz w:val="20"/>
          <w:szCs w:val="20"/>
        </w:rPr>
      </w:pPr>
      <w:r w:rsidRPr="004E6F9F">
        <w:rPr>
          <w:rFonts w:ascii="Arial" w:hAnsi="Arial" w:cs="Arial"/>
          <w:sz w:val="20"/>
          <w:szCs w:val="20"/>
        </w:rPr>
        <w:t>FRIESTINO, Jane Kelly Oliveira</w:t>
      </w:r>
      <w:r w:rsidRPr="004E6F9F">
        <w:rPr>
          <w:rStyle w:val="Refdenotaderodap"/>
          <w:rFonts w:ascii="Arial" w:hAnsi="Arial" w:cs="Arial"/>
          <w:sz w:val="20"/>
          <w:szCs w:val="20"/>
        </w:rPr>
        <w:footnoteReference w:id="3"/>
      </w:r>
    </w:p>
    <w:p w14:paraId="24F39A8B" w14:textId="77777777" w:rsidR="002D2357" w:rsidRPr="004E6F9F" w:rsidRDefault="002D2357" w:rsidP="005B16DD">
      <w:pPr>
        <w:spacing w:after="0" w:line="240" w:lineRule="auto"/>
        <w:jc w:val="both"/>
        <w:rPr>
          <w:rFonts w:ascii="Arial" w:hAnsi="Arial" w:cs="Arial"/>
        </w:rPr>
      </w:pPr>
    </w:p>
    <w:p w14:paraId="307C9BC4" w14:textId="77777777" w:rsidR="002D2357" w:rsidRPr="004E6F9F" w:rsidRDefault="002D2357" w:rsidP="005B16DD">
      <w:pPr>
        <w:spacing w:after="0" w:line="240" w:lineRule="auto"/>
        <w:jc w:val="both"/>
        <w:rPr>
          <w:rFonts w:ascii="Arial" w:hAnsi="Arial" w:cs="Arial"/>
        </w:rPr>
      </w:pPr>
      <w:r w:rsidRPr="004E6F9F">
        <w:rPr>
          <w:rFonts w:ascii="Arial" w:hAnsi="Arial" w:cs="Arial"/>
        </w:rPr>
        <w:t>RESUMO:</w:t>
      </w:r>
    </w:p>
    <w:p w14:paraId="37708B31" w14:textId="77777777" w:rsidR="002D2357" w:rsidRPr="004E6F9F" w:rsidRDefault="002D2357" w:rsidP="005B16DD">
      <w:pPr>
        <w:spacing w:after="0" w:line="240" w:lineRule="auto"/>
        <w:jc w:val="both"/>
        <w:rPr>
          <w:rFonts w:ascii="Arial" w:hAnsi="Arial" w:cs="Arial"/>
        </w:rPr>
      </w:pPr>
    </w:p>
    <w:p w14:paraId="4061DBEB" w14:textId="35D0EE03" w:rsidR="002D2357" w:rsidRPr="00461048" w:rsidRDefault="002D2357" w:rsidP="00EE7E22">
      <w:pPr>
        <w:spacing w:after="0" w:line="240" w:lineRule="auto"/>
        <w:jc w:val="both"/>
        <w:rPr>
          <w:rFonts w:ascii="Arial" w:hAnsi="Arial" w:cs="Arial"/>
          <w:sz w:val="20"/>
          <w:szCs w:val="20"/>
        </w:rPr>
      </w:pPr>
      <w:r w:rsidRPr="00461048">
        <w:rPr>
          <w:rFonts w:ascii="Arial" w:hAnsi="Arial" w:cs="Arial"/>
          <w:sz w:val="20"/>
          <w:szCs w:val="20"/>
        </w:rPr>
        <w:t xml:space="preserve">O homicídio é um problema de segurança e de saúde pública. O objetivo desse trabalho foi avaliar as tendências das taxas de homicídio por microrregiões no estado de Santa Catarina. Trata-se de um estudo ecológico de séries temporais. Os dados foram coletados pelo Departamento de Informática do Sistema Único de Saúde e pelo Censo Nacional. Foi utilizada a técnica de regressão linear segmentada, para estimar as variações percentuais anuais (VPA) com intervalo de confiança de 95% e possíveis pontos de inflexão pelo software </w:t>
      </w:r>
      <w:proofErr w:type="spellStart"/>
      <w:r w:rsidRPr="00461048">
        <w:rPr>
          <w:rFonts w:ascii="Arial" w:hAnsi="Arial" w:cs="Arial"/>
          <w:sz w:val="20"/>
          <w:szCs w:val="20"/>
        </w:rPr>
        <w:t>joinpoint</w:t>
      </w:r>
      <w:proofErr w:type="spellEnd"/>
      <w:r w:rsidRPr="00461048">
        <w:rPr>
          <w:rFonts w:ascii="Arial" w:hAnsi="Arial" w:cs="Arial"/>
          <w:sz w:val="20"/>
          <w:szCs w:val="20"/>
        </w:rPr>
        <w:t xml:space="preserve">. </w:t>
      </w:r>
      <w:r w:rsidRPr="00461048">
        <w:rPr>
          <w:rStyle w:val="hps"/>
          <w:rFonts w:ascii="Arial" w:hAnsi="Arial" w:cs="Arial"/>
          <w:sz w:val="20"/>
          <w:szCs w:val="20"/>
        </w:rPr>
        <w:t>No período estudado ocorreram 16408 homicídios em Santa Catarina, correspondente a uma taxa de 11,3 casos por 100 mil habitantes. De 2003 a 2017 houve tendência de aumento do homicídio com VPA de +1,28. As microrregiões a seguir apresentaram tendência de aumento em mais da metade do período de estudo: Araranguá, Blumenau, Chapecó, Criciúma, Itajaí, Ituporanga, Tijucas, Tabuleiro. Em oposição, as microrregiões de Florianópolis, Curitibanos, Canoinhas apresentaram tendência de diminuição; as demais mantiveram-se estáveis.</w:t>
      </w:r>
    </w:p>
    <w:p w14:paraId="053EA469" w14:textId="77777777" w:rsidR="002D2357" w:rsidRPr="004E6F9F" w:rsidRDefault="002D2357" w:rsidP="005B16DD">
      <w:pPr>
        <w:spacing w:after="0" w:line="240" w:lineRule="auto"/>
        <w:jc w:val="both"/>
        <w:rPr>
          <w:rFonts w:ascii="Arial" w:hAnsi="Arial" w:cs="Arial"/>
        </w:rPr>
      </w:pPr>
    </w:p>
    <w:p w14:paraId="4F36020C" w14:textId="77777777" w:rsidR="002D2357" w:rsidRPr="004E6F9F" w:rsidRDefault="002D2357" w:rsidP="005B16DD">
      <w:pPr>
        <w:spacing w:after="0" w:line="240" w:lineRule="auto"/>
        <w:jc w:val="both"/>
        <w:rPr>
          <w:rFonts w:ascii="Arial" w:hAnsi="Arial" w:cs="Arial"/>
        </w:rPr>
      </w:pPr>
      <w:r w:rsidRPr="004E6F9F">
        <w:rPr>
          <w:rFonts w:ascii="Arial" w:hAnsi="Arial" w:cs="Arial"/>
        </w:rPr>
        <w:t xml:space="preserve">Palavras-chave: homicídio, </w:t>
      </w:r>
      <w:r w:rsidRPr="00175643">
        <w:rPr>
          <w:rFonts w:ascii="Arial" w:hAnsi="Arial" w:cs="Arial"/>
        </w:rPr>
        <w:t>análise espaço-temporal</w:t>
      </w:r>
      <w:r w:rsidRPr="004E6F9F">
        <w:rPr>
          <w:rFonts w:ascii="Arial" w:hAnsi="Arial" w:cs="Arial"/>
        </w:rPr>
        <w:t>, saúde pública, violência</w:t>
      </w:r>
    </w:p>
    <w:p w14:paraId="65F95F26" w14:textId="77777777" w:rsidR="002D2357" w:rsidRPr="004E6F9F" w:rsidRDefault="002D2357" w:rsidP="00E04EC0">
      <w:pPr>
        <w:spacing w:after="0" w:line="240" w:lineRule="auto"/>
        <w:jc w:val="both"/>
        <w:rPr>
          <w:rFonts w:ascii="Arial" w:hAnsi="Arial" w:cs="Arial"/>
        </w:rPr>
      </w:pPr>
    </w:p>
    <w:p w14:paraId="2AC41803" w14:textId="77777777" w:rsidR="002D2357" w:rsidRPr="004E6F9F" w:rsidRDefault="002D2357" w:rsidP="00E04EC0">
      <w:pPr>
        <w:spacing w:after="0" w:line="240" w:lineRule="auto"/>
        <w:jc w:val="both"/>
        <w:rPr>
          <w:rFonts w:ascii="Arial" w:hAnsi="Arial" w:cs="Arial"/>
        </w:rPr>
      </w:pPr>
    </w:p>
    <w:p w14:paraId="3FD9F173" w14:textId="77777777" w:rsidR="002D2357" w:rsidRPr="009B4F42" w:rsidRDefault="002D2357" w:rsidP="00E04EC0">
      <w:pPr>
        <w:spacing w:after="0" w:line="240" w:lineRule="auto"/>
        <w:jc w:val="both"/>
        <w:rPr>
          <w:rFonts w:ascii="Arial" w:hAnsi="Arial" w:cs="Arial"/>
        </w:rPr>
      </w:pPr>
    </w:p>
    <w:p w14:paraId="271091C2" w14:textId="77777777" w:rsidR="002D2357" w:rsidRPr="004E6F9F" w:rsidRDefault="002D2357" w:rsidP="00E04EC0">
      <w:pPr>
        <w:spacing w:after="0" w:line="240" w:lineRule="auto"/>
        <w:jc w:val="both"/>
        <w:rPr>
          <w:rFonts w:ascii="Arial" w:hAnsi="Arial" w:cs="Arial"/>
          <w:lang w:val="en-CA"/>
        </w:rPr>
      </w:pPr>
      <w:r w:rsidRPr="004E6F9F">
        <w:rPr>
          <w:rFonts w:ascii="Arial" w:hAnsi="Arial" w:cs="Arial"/>
          <w:lang w:val="en-CA"/>
        </w:rPr>
        <w:t>ABSTRACT:</w:t>
      </w:r>
    </w:p>
    <w:p w14:paraId="41B4962B" w14:textId="77777777" w:rsidR="002D2357" w:rsidRPr="004E6F9F" w:rsidRDefault="002D2357" w:rsidP="00E04EC0">
      <w:pPr>
        <w:spacing w:after="0" w:line="240" w:lineRule="auto"/>
        <w:jc w:val="both"/>
        <w:rPr>
          <w:rFonts w:ascii="Arial" w:hAnsi="Arial" w:cs="Arial"/>
          <w:lang w:val="en-CA"/>
        </w:rPr>
      </w:pPr>
    </w:p>
    <w:p w14:paraId="47F1CF87" w14:textId="77777777" w:rsidR="002D2357" w:rsidRPr="00461048" w:rsidRDefault="002D2357" w:rsidP="00EC074B">
      <w:pPr>
        <w:spacing w:after="0" w:line="240" w:lineRule="auto"/>
        <w:jc w:val="both"/>
        <w:rPr>
          <w:rFonts w:ascii="Arial" w:hAnsi="Arial" w:cs="Arial"/>
          <w:sz w:val="20"/>
          <w:szCs w:val="20"/>
          <w:lang w:val="en-CA"/>
        </w:rPr>
      </w:pPr>
      <w:r w:rsidRPr="00461048">
        <w:rPr>
          <w:rFonts w:ascii="Arial" w:hAnsi="Arial" w:cs="Arial"/>
          <w:sz w:val="20"/>
          <w:szCs w:val="20"/>
          <w:lang w:val="en-CA"/>
        </w:rPr>
        <w:t xml:space="preserve">Homicide is a public health and security problem. The objective of this study was to evaluate the trends in homicide rates by micro-regions in the state of Santa Catarina, Brazil. This is an ecological study of time series. Data were collected by the Informatics Department of Unified System Health and the National Census. The segmented linear regression technique was used to estimate the annual percentage changes (APC) with a 95% confidence interval and possible inflection points by the </w:t>
      </w:r>
      <w:proofErr w:type="spellStart"/>
      <w:r w:rsidRPr="00461048">
        <w:rPr>
          <w:rFonts w:ascii="Arial" w:hAnsi="Arial" w:cs="Arial"/>
          <w:sz w:val="20"/>
          <w:szCs w:val="20"/>
          <w:lang w:val="en-CA"/>
        </w:rPr>
        <w:t>joinpoint</w:t>
      </w:r>
      <w:proofErr w:type="spellEnd"/>
      <w:r w:rsidRPr="00461048">
        <w:rPr>
          <w:rFonts w:ascii="Arial" w:hAnsi="Arial" w:cs="Arial"/>
          <w:sz w:val="20"/>
          <w:szCs w:val="20"/>
          <w:lang w:val="en-CA"/>
        </w:rPr>
        <w:t xml:space="preserve"> software. During the study period, 16,408 homicides occurred in Santa Catarina, corresponding to a rate of 11.3 cases per 100 thousand inhabitants. From 2003 to 2017 there was an upward trend in homicide with </w:t>
      </w:r>
      <w:proofErr w:type="gramStart"/>
      <w:r w:rsidRPr="00461048">
        <w:rPr>
          <w:rFonts w:ascii="Arial" w:hAnsi="Arial" w:cs="Arial"/>
          <w:sz w:val="20"/>
          <w:szCs w:val="20"/>
          <w:lang w:val="en-CA"/>
        </w:rPr>
        <w:t>a</w:t>
      </w:r>
      <w:proofErr w:type="gramEnd"/>
      <w:r w:rsidRPr="00461048">
        <w:rPr>
          <w:rFonts w:ascii="Arial" w:hAnsi="Arial" w:cs="Arial"/>
          <w:sz w:val="20"/>
          <w:szCs w:val="20"/>
          <w:lang w:val="en-CA"/>
        </w:rPr>
        <w:t xml:space="preserve"> APC of +1.28. The following micro-regions showed an upward trend in more than half of the study period: </w:t>
      </w:r>
      <w:proofErr w:type="spellStart"/>
      <w:r w:rsidRPr="00461048">
        <w:rPr>
          <w:rFonts w:ascii="Arial" w:hAnsi="Arial" w:cs="Arial"/>
          <w:sz w:val="20"/>
          <w:szCs w:val="20"/>
          <w:lang w:val="en-CA"/>
        </w:rPr>
        <w:t>Araranguá</w:t>
      </w:r>
      <w:proofErr w:type="spellEnd"/>
      <w:r w:rsidRPr="00461048">
        <w:rPr>
          <w:rFonts w:ascii="Arial" w:hAnsi="Arial" w:cs="Arial"/>
          <w:sz w:val="20"/>
          <w:szCs w:val="20"/>
          <w:lang w:val="en-CA"/>
        </w:rPr>
        <w:t xml:space="preserve">, Blumenau, </w:t>
      </w:r>
      <w:proofErr w:type="spellStart"/>
      <w:r w:rsidRPr="00461048">
        <w:rPr>
          <w:rFonts w:ascii="Arial" w:hAnsi="Arial" w:cs="Arial"/>
          <w:sz w:val="20"/>
          <w:szCs w:val="20"/>
          <w:lang w:val="en-CA"/>
        </w:rPr>
        <w:t>Chapecó</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Criciúma</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Itajaí</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Ituporanga</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Tijucas</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Tabuleiro</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Florianópolis</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Curitibanos</w:t>
      </w:r>
      <w:proofErr w:type="spellEnd"/>
      <w:r w:rsidRPr="00461048">
        <w:rPr>
          <w:rFonts w:ascii="Arial" w:hAnsi="Arial" w:cs="Arial"/>
          <w:sz w:val="20"/>
          <w:szCs w:val="20"/>
          <w:lang w:val="en-CA"/>
        </w:rPr>
        <w:t xml:space="preserve">, </w:t>
      </w:r>
      <w:proofErr w:type="spellStart"/>
      <w:r w:rsidRPr="00461048">
        <w:rPr>
          <w:rFonts w:ascii="Arial" w:hAnsi="Arial" w:cs="Arial"/>
          <w:sz w:val="20"/>
          <w:szCs w:val="20"/>
          <w:lang w:val="en-CA"/>
        </w:rPr>
        <w:t>Canoinhas</w:t>
      </w:r>
      <w:proofErr w:type="spellEnd"/>
      <w:r w:rsidRPr="00461048">
        <w:rPr>
          <w:rFonts w:ascii="Arial" w:hAnsi="Arial" w:cs="Arial"/>
          <w:sz w:val="20"/>
          <w:szCs w:val="20"/>
          <w:lang w:val="en-CA"/>
        </w:rPr>
        <w:t xml:space="preserve"> showed a downward trend and the others remained stable.</w:t>
      </w:r>
    </w:p>
    <w:p w14:paraId="22B35B11" w14:textId="77777777" w:rsidR="002D2357" w:rsidRPr="004E6F9F" w:rsidRDefault="002D2357" w:rsidP="00EC074B">
      <w:pPr>
        <w:spacing w:after="0" w:line="240" w:lineRule="auto"/>
        <w:jc w:val="both"/>
        <w:rPr>
          <w:rFonts w:ascii="Arial" w:hAnsi="Arial" w:cs="Arial"/>
          <w:lang w:val="en-CA"/>
        </w:rPr>
      </w:pPr>
    </w:p>
    <w:p w14:paraId="55B959AA" w14:textId="77777777" w:rsidR="002D2357" w:rsidRPr="004E6F9F" w:rsidRDefault="002D2357" w:rsidP="00EC074B">
      <w:pPr>
        <w:spacing w:after="0" w:line="240" w:lineRule="auto"/>
        <w:jc w:val="both"/>
        <w:rPr>
          <w:rFonts w:ascii="Arial" w:hAnsi="Arial" w:cs="Arial"/>
          <w:lang w:val="en-CA"/>
        </w:rPr>
      </w:pPr>
      <w:r w:rsidRPr="004E6F9F">
        <w:rPr>
          <w:rFonts w:ascii="Arial" w:hAnsi="Arial" w:cs="Arial"/>
          <w:lang w:val="en-CA"/>
        </w:rPr>
        <w:t xml:space="preserve">Keywords: homicide, </w:t>
      </w:r>
      <w:proofErr w:type="spellStart"/>
      <w:r w:rsidRPr="00175643">
        <w:rPr>
          <w:rFonts w:ascii="Arial" w:hAnsi="Arial" w:cs="Arial"/>
          <w:lang w:val="en-CA"/>
        </w:rPr>
        <w:t>spatio</w:t>
      </w:r>
      <w:proofErr w:type="spellEnd"/>
      <w:r w:rsidRPr="00175643">
        <w:rPr>
          <w:rFonts w:ascii="Arial" w:hAnsi="Arial" w:cs="Arial"/>
          <w:lang w:val="en-CA"/>
        </w:rPr>
        <w:t>-temporal analysis</w:t>
      </w:r>
      <w:r w:rsidRPr="004E6F9F">
        <w:rPr>
          <w:rFonts w:ascii="Arial" w:hAnsi="Arial" w:cs="Arial"/>
          <w:lang w:val="en-CA"/>
        </w:rPr>
        <w:t>, public health, violence</w:t>
      </w:r>
    </w:p>
    <w:p w14:paraId="42B1BB54" w14:textId="77777777" w:rsidR="002D2357" w:rsidRPr="004E6F9F" w:rsidRDefault="002D2357" w:rsidP="002D2357">
      <w:pPr>
        <w:rPr>
          <w:rFonts w:ascii="Arial" w:hAnsi="Arial" w:cs="Arial"/>
          <w:b/>
        </w:rPr>
      </w:pPr>
      <w:r w:rsidRPr="00485B68">
        <w:rPr>
          <w:rFonts w:ascii="Arial" w:hAnsi="Arial" w:cs="Arial"/>
          <w:b/>
        </w:rPr>
        <w:br w:type="page"/>
      </w:r>
      <w:r w:rsidRPr="004E6F9F">
        <w:rPr>
          <w:rFonts w:ascii="Arial" w:hAnsi="Arial" w:cs="Arial"/>
          <w:b/>
        </w:rPr>
        <w:lastRenderedPageBreak/>
        <w:t>INTRODUÇÃO</w:t>
      </w:r>
    </w:p>
    <w:p w14:paraId="376C66EC" w14:textId="77777777" w:rsidR="002D2357" w:rsidRPr="004E6F9F" w:rsidRDefault="002D2357" w:rsidP="00EE31FD">
      <w:pPr>
        <w:spacing w:before="120" w:after="120" w:line="240" w:lineRule="auto"/>
        <w:ind w:firstLine="1134"/>
        <w:jc w:val="both"/>
        <w:rPr>
          <w:rFonts w:ascii="Arial" w:hAnsi="Arial" w:cs="Arial"/>
        </w:rPr>
      </w:pPr>
      <w:r w:rsidRPr="004E6F9F">
        <w:rPr>
          <w:rFonts w:ascii="Arial" w:hAnsi="Arial" w:cs="Arial"/>
        </w:rPr>
        <w:t xml:space="preserve">O homicídio é um conhecido problema de saúde e de segurança pública </w:t>
      </w:r>
      <w:r w:rsidRPr="004E6F9F">
        <w:rPr>
          <w:rFonts w:ascii="Arial" w:hAnsi="Arial" w:cs="Arial"/>
          <w:noProof/>
        </w:rPr>
        <w:t>(CARDOSO; CECCHETTO; CORRÊA; SOUZA, 2016)</w:t>
      </w:r>
      <w:r w:rsidRPr="004E6F9F">
        <w:rPr>
          <w:rFonts w:ascii="Arial" w:hAnsi="Arial" w:cs="Arial"/>
        </w:rPr>
        <w:t xml:space="preserve">. Trata-se de um fenômeno complexo e multifatorial. Tem custos emocionais e sociais de grande magnitude, pode levar à ruptura de famílias, afetar amigos das vítimas, causar sofrimento, revolta, medo e desespero </w:t>
      </w:r>
      <w:r w:rsidRPr="004E6F9F">
        <w:rPr>
          <w:rFonts w:ascii="Arial" w:hAnsi="Arial" w:cs="Arial"/>
          <w:noProof/>
        </w:rPr>
        <w:t>(REICHENHEIM; DE SOUZA; MORAES; DE MELLO JORGE</w:t>
      </w:r>
      <w:r w:rsidRPr="004E6F9F">
        <w:rPr>
          <w:rFonts w:ascii="Arial" w:hAnsi="Arial" w:cs="Arial"/>
          <w:i/>
          <w:noProof/>
        </w:rPr>
        <w:t xml:space="preserve"> et al.</w:t>
      </w:r>
      <w:r w:rsidRPr="004E6F9F">
        <w:rPr>
          <w:rFonts w:ascii="Arial" w:hAnsi="Arial" w:cs="Arial"/>
          <w:noProof/>
        </w:rPr>
        <w:t>, 2011)</w:t>
      </w:r>
      <w:r w:rsidRPr="004E6F9F">
        <w:rPr>
          <w:rFonts w:ascii="Arial" w:hAnsi="Arial" w:cs="Arial"/>
        </w:rPr>
        <w:t xml:space="preserve">. De acordo com a Organização Mundial da Saúde (OMS) em 2019 ocorreram 477 mil homicídios no mundo, o que corresponde a uma taxa global 6,2 por 100 mil habitantes </w:t>
      </w:r>
      <w:r w:rsidRPr="004E6F9F">
        <w:rPr>
          <w:rFonts w:ascii="Arial" w:hAnsi="Arial" w:cs="Arial"/>
          <w:noProof/>
        </w:rPr>
        <w:t>(WHO, 2019)</w:t>
      </w:r>
      <w:r w:rsidRPr="004E6F9F">
        <w:rPr>
          <w:rFonts w:ascii="Arial" w:hAnsi="Arial" w:cs="Arial"/>
        </w:rPr>
        <w:t xml:space="preserve">. No entanto a média oculta profundas variações. Enquanto El Salvador, Honduras e Venezuela apresentam taxas que variam de 63,6 a 85,0 por 100 mil, Portugal, Eslovênia e China apresentam taxas inferiores a 1,0 por 100 mil. O Brasil ocupa a 11ª posição do ranking com 32,6 homicídios por 100 mil </w:t>
      </w:r>
      <w:r w:rsidRPr="004E6F9F">
        <w:rPr>
          <w:rFonts w:ascii="Arial" w:hAnsi="Arial" w:cs="Arial"/>
          <w:noProof/>
        </w:rPr>
        <w:t>(WHO, 2019)</w:t>
      </w:r>
      <w:r w:rsidRPr="004E6F9F">
        <w:rPr>
          <w:rFonts w:ascii="Arial" w:hAnsi="Arial" w:cs="Arial"/>
        </w:rPr>
        <w:t xml:space="preserve">. No Brasil as taxas de homicídio dos 27 estados variaram de 13,0 em Santa Catarina a 68,9 em Alagoas </w:t>
      </w:r>
      <w:r w:rsidRPr="004E6F9F">
        <w:rPr>
          <w:rFonts w:ascii="Arial" w:hAnsi="Arial" w:cs="Arial"/>
          <w:noProof/>
        </w:rPr>
        <w:t>(BANDO; LESTER, 2014)</w:t>
      </w:r>
      <w:r w:rsidRPr="004E6F9F">
        <w:rPr>
          <w:rFonts w:ascii="Arial" w:hAnsi="Arial" w:cs="Arial"/>
        </w:rPr>
        <w:t>.</w:t>
      </w:r>
    </w:p>
    <w:p w14:paraId="54B54AAB" w14:textId="77777777" w:rsidR="002D2357" w:rsidRPr="004E6F9F" w:rsidRDefault="002D2357" w:rsidP="001D053B">
      <w:pPr>
        <w:spacing w:before="120" w:after="120" w:line="240" w:lineRule="auto"/>
        <w:ind w:firstLine="1134"/>
        <w:jc w:val="both"/>
        <w:rPr>
          <w:rFonts w:ascii="Arial" w:hAnsi="Arial" w:cs="Arial"/>
        </w:rPr>
      </w:pPr>
      <w:r w:rsidRPr="004E6F9F">
        <w:rPr>
          <w:rFonts w:ascii="Arial" w:hAnsi="Arial" w:cs="Arial"/>
        </w:rPr>
        <w:t xml:space="preserve">A arma de fogo foi o principal meio utilizado no mundo, em 2016 ocorreram 251 mil homicídios por arma de fogo, sendo o Brasil, Estados Unidos, México, Colômbia, Venezuela e Guatemala responsáveis por 50,5% dessas mortes </w:t>
      </w:r>
      <w:r w:rsidRPr="004E6F9F">
        <w:rPr>
          <w:rFonts w:ascii="Arial" w:hAnsi="Arial" w:cs="Arial"/>
          <w:noProof/>
        </w:rPr>
        <w:t>(THE</w:t>
      </w:r>
      <w:r>
        <w:rPr>
          <w:rFonts w:ascii="Arial" w:hAnsi="Arial" w:cs="Arial"/>
          <w:noProof/>
        </w:rPr>
        <w:t xml:space="preserve"> </w:t>
      </w:r>
      <w:r w:rsidRPr="004E6F9F">
        <w:rPr>
          <w:rFonts w:ascii="Arial" w:hAnsi="Arial" w:cs="Arial"/>
          <w:noProof/>
        </w:rPr>
        <w:t>GLOBAL</w:t>
      </w:r>
      <w:r>
        <w:rPr>
          <w:rFonts w:ascii="Arial" w:hAnsi="Arial" w:cs="Arial"/>
          <w:noProof/>
        </w:rPr>
        <w:t xml:space="preserve"> </w:t>
      </w:r>
      <w:r w:rsidRPr="004E6F9F">
        <w:rPr>
          <w:rFonts w:ascii="Arial" w:hAnsi="Arial" w:cs="Arial"/>
          <w:noProof/>
        </w:rPr>
        <w:t>BURDEN</w:t>
      </w:r>
      <w:r>
        <w:rPr>
          <w:rFonts w:ascii="Arial" w:hAnsi="Arial" w:cs="Arial"/>
          <w:noProof/>
        </w:rPr>
        <w:t xml:space="preserve"> </w:t>
      </w:r>
      <w:r w:rsidRPr="004E6F9F">
        <w:rPr>
          <w:rFonts w:ascii="Arial" w:hAnsi="Arial" w:cs="Arial"/>
          <w:noProof/>
        </w:rPr>
        <w:t>OF</w:t>
      </w:r>
      <w:r>
        <w:rPr>
          <w:rFonts w:ascii="Arial" w:hAnsi="Arial" w:cs="Arial"/>
          <w:noProof/>
        </w:rPr>
        <w:t xml:space="preserve"> </w:t>
      </w:r>
      <w:r w:rsidRPr="004E6F9F">
        <w:rPr>
          <w:rFonts w:ascii="Arial" w:hAnsi="Arial" w:cs="Arial"/>
          <w:noProof/>
        </w:rPr>
        <w:t>DISEASE</w:t>
      </w:r>
      <w:r>
        <w:rPr>
          <w:rFonts w:ascii="Arial" w:hAnsi="Arial" w:cs="Arial"/>
          <w:noProof/>
        </w:rPr>
        <w:t xml:space="preserve"> </w:t>
      </w:r>
      <w:r w:rsidRPr="004E6F9F">
        <w:rPr>
          <w:rFonts w:ascii="Arial" w:hAnsi="Arial" w:cs="Arial"/>
          <w:noProof/>
        </w:rPr>
        <w:t>INJURY</w:t>
      </w:r>
      <w:r>
        <w:rPr>
          <w:rFonts w:ascii="Arial" w:hAnsi="Arial" w:cs="Arial"/>
          <w:noProof/>
        </w:rPr>
        <w:t xml:space="preserve"> </w:t>
      </w:r>
      <w:r w:rsidRPr="004E6F9F">
        <w:rPr>
          <w:rFonts w:ascii="Arial" w:hAnsi="Arial" w:cs="Arial"/>
          <w:noProof/>
        </w:rPr>
        <w:t>COLLABORATORS, 2018)</w:t>
      </w:r>
      <w:r w:rsidRPr="004E6F9F">
        <w:rPr>
          <w:rFonts w:ascii="Arial" w:hAnsi="Arial" w:cs="Arial"/>
        </w:rPr>
        <w:t xml:space="preserve">. De acordo com estimativas da </w:t>
      </w:r>
      <w:r w:rsidRPr="004E6F9F">
        <w:rPr>
          <w:rFonts w:ascii="Arial" w:hAnsi="Arial" w:cs="Arial"/>
          <w:i/>
        </w:rPr>
        <w:t xml:space="preserve">United </w:t>
      </w:r>
      <w:proofErr w:type="spellStart"/>
      <w:r w:rsidRPr="004E6F9F">
        <w:rPr>
          <w:rFonts w:ascii="Arial" w:hAnsi="Arial" w:cs="Arial"/>
          <w:i/>
        </w:rPr>
        <w:t>Nations</w:t>
      </w:r>
      <w:proofErr w:type="spellEnd"/>
      <w:r w:rsidRPr="004E6F9F">
        <w:rPr>
          <w:rFonts w:ascii="Arial" w:hAnsi="Arial" w:cs="Arial"/>
          <w:i/>
        </w:rPr>
        <w:t xml:space="preserve"> Office </w:t>
      </w:r>
      <w:proofErr w:type="spellStart"/>
      <w:r w:rsidRPr="004E6F9F">
        <w:rPr>
          <w:rFonts w:ascii="Arial" w:hAnsi="Arial" w:cs="Arial"/>
          <w:i/>
        </w:rPr>
        <w:t>on</w:t>
      </w:r>
      <w:proofErr w:type="spellEnd"/>
      <w:r w:rsidRPr="004E6F9F">
        <w:rPr>
          <w:rFonts w:ascii="Arial" w:hAnsi="Arial" w:cs="Arial"/>
          <w:i/>
        </w:rPr>
        <w:t xml:space="preserve"> </w:t>
      </w:r>
      <w:proofErr w:type="spellStart"/>
      <w:r w:rsidRPr="004E6F9F">
        <w:rPr>
          <w:rFonts w:ascii="Arial" w:hAnsi="Arial" w:cs="Arial"/>
          <w:i/>
        </w:rPr>
        <w:t>Drugs</w:t>
      </w:r>
      <w:proofErr w:type="spellEnd"/>
      <w:r w:rsidRPr="004E6F9F">
        <w:rPr>
          <w:rFonts w:ascii="Arial" w:hAnsi="Arial" w:cs="Arial"/>
          <w:i/>
        </w:rPr>
        <w:t xml:space="preserve"> </w:t>
      </w:r>
      <w:proofErr w:type="spellStart"/>
      <w:proofErr w:type="gramStart"/>
      <w:r w:rsidRPr="004E6F9F">
        <w:rPr>
          <w:rFonts w:ascii="Arial" w:hAnsi="Arial" w:cs="Arial"/>
          <w:i/>
        </w:rPr>
        <w:t>and</w:t>
      </w:r>
      <w:proofErr w:type="spellEnd"/>
      <w:r w:rsidRPr="004E6F9F">
        <w:rPr>
          <w:rFonts w:ascii="Arial" w:hAnsi="Arial" w:cs="Arial"/>
          <w:i/>
        </w:rPr>
        <w:t xml:space="preserve"> Crime</w:t>
      </w:r>
      <w:proofErr w:type="gramEnd"/>
      <w:r w:rsidRPr="004E6F9F">
        <w:rPr>
          <w:rFonts w:ascii="Arial" w:hAnsi="Arial" w:cs="Arial"/>
          <w:i/>
        </w:rPr>
        <w:t xml:space="preserve"> </w:t>
      </w:r>
      <w:r w:rsidRPr="004E6F9F">
        <w:rPr>
          <w:rFonts w:ascii="Arial" w:hAnsi="Arial" w:cs="Arial"/>
          <w:i/>
          <w:noProof/>
        </w:rPr>
        <w:t>(UNODC, 2019)</w:t>
      </w:r>
      <w:r w:rsidRPr="004E6F9F">
        <w:rPr>
          <w:rFonts w:ascii="Arial" w:hAnsi="Arial" w:cs="Arial"/>
        </w:rPr>
        <w:t xml:space="preserve"> cerca de 90% das vítimas por homicídios no mundo são homens, sendo o maior risco na faixa etária de 15 a 29 anos e cerca de 19% da carga total de homicídios estava relacionada ao crime organizado em 2017. Um estudo de revisão sobre homicídio no Brasil revelou que o Brasil parece seguir o padrão mundial. O perfil epidemiológico da violência homicida no país correspondeu aos jovens do sexo masculino, na faixa etária dos 15 a 29 anos, negros, moradores nas periferias das cidades ou favelas. Com relação às condições de vida, destacou-se a população com elevado nível de vulnerabilidade devido à falta de oportunidade social e disputas territoriais ligadas ao tráfico de drogas </w:t>
      </w:r>
      <w:r w:rsidRPr="004E6F9F">
        <w:rPr>
          <w:rFonts w:ascii="Arial" w:hAnsi="Arial" w:cs="Arial"/>
          <w:noProof/>
        </w:rPr>
        <w:t>(OLIVEIRA; LUNA; SILVA, 2020; REICHENHEIM; DE SOUZA; MORAES; DE MELLO JORGE</w:t>
      </w:r>
      <w:r w:rsidRPr="004E6F9F">
        <w:rPr>
          <w:rFonts w:ascii="Arial" w:hAnsi="Arial" w:cs="Arial"/>
          <w:i/>
          <w:noProof/>
        </w:rPr>
        <w:t xml:space="preserve"> et al.</w:t>
      </w:r>
      <w:r w:rsidRPr="004E6F9F">
        <w:rPr>
          <w:rFonts w:ascii="Arial" w:hAnsi="Arial" w:cs="Arial"/>
          <w:noProof/>
        </w:rPr>
        <w:t>, 2011)</w:t>
      </w:r>
      <w:r w:rsidRPr="004E6F9F">
        <w:rPr>
          <w:rFonts w:ascii="Arial" w:hAnsi="Arial" w:cs="Arial"/>
        </w:rPr>
        <w:t xml:space="preserve">. No Brasil, o homicídio relaciona-se também com as áreas da fronteira agrícola e conflitos pela posse de terra </w:t>
      </w:r>
      <w:r w:rsidRPr="004E6F9F">
        <w:rPr>
          <w:rFonts w:ascii="Arial" w:hAnsi="Arial" w:cs="Arial"/>
          <w:noProof/>
        </w:rPr>
        <w:t>(REICHENHEIM; DE SOUZA; MORAES; DE MELLO JORGE</w:t>
      </w:r>
      <w:r w:rsidRPr="004E6F9F">
        <w:rPr>
          <w:rFonts w:ascii="Arial" w:hAnsi="Arial" w:cs="Arial"/>
          <w:i/>
          <w:noProof/>
        </w:rPr>
        <w:t xml:space="preserve"> et al.</w:t>
      </w:r>
      <w:r w:rsidRPr="004E6F9F">
        <w:rPr>
          <w:rFonts w:ascii="Arial" w:hAnsi="Arial" w:cs="Arial"/>
          <w:noProof/>
        </w:rPr>
        <w:t>, 2011)</w:t>
      </w:r>
      <w:r w:rsidRPr="004E6F9F">
        <w:rPr>
          <w:rFonts w:ascii="Arial" w:hAnsi="Arial" w:cs="Arial"/>
        </w:rPr>
        <w:t xml:space="preserve">. Na cidade de São Paulo, estudo ecológico também sugere associação dos homicídios com a violência policial </w:t>
      </w:r>
      <w:r w:rsidRPr="004E6F9F">
        <w:rPr>
          <w:rFonts w:ascii="Arial" w:hAnsi="Arial" w:cs="Arial"/>
          <w:noProof/>
        </w:rPr>
        <w:t>(PERES; CARDIA; MESQUITA NETO; SANTOS</w:t>
      </w:r>
      <w:r w:rsidRPr="004E6F9F">
        <w:rPr>
          <w:rFonts w:ascii="Arial" w:hAnsi="Arial" w:cs="Arial"/>
          <w:i/>
          <w:noProof/>
        </w:rPr>
        <w:t xml:space="preserve"> et al.</w:t>
      </w:r>
      <w:r w:rsidRPr="004E6F9F">
        <w:rPr>
          <w:rFonts w:ascii="Arial" w:hAnsi="Arial" w:cs="Arial"/>
          <w:noProof/>
        </w:rPr>
        <w:t>, 2008)</w:t>
      </w:r>
      <w:r w:rsidRPr="004E6F9F">
        <w:rPr>
          <w:rFonts w:ascii="Arial" w:hAnsi="Arial" w:cs="Arial"/>
        </w:rPr>
        <w:t xml:space="preserve">. Quanto aos fatores de risco individuais, incluem transtornos relacionados ao uso de drogas, transtornos de personalidade e falta de aderência ao tratamento psiquiátrico </w:t>
      </w:r>
      <w:r w:rsidRPr="004E6F9F">
        <w:rPr>
          <w:rFonts w:ascii="Arial" w:hAnsi="Arial" w:cs="Arial"/>
          <w:noProof/>
        </w:rPr>
        <w:t>(VALENÇA; DE MORAES, 2006)</w:t>
      </w:r>
      <w:r w:rsidRPr="004E6F9F">
        <w:rPr>
          <w:rFonts w:ascii="Arial" w:hAnsi="Arial" w:cs="Arial"/>
        </w:rPr>
        <w:t>.</w:t>
      </w:r>
    </w:p>
    <w:p w14:paraId="49FE6148" w14:textId="77777777" w:rsidR="002D2357" w:rsidRPr="004E6F9F" w:rsidRDefault="002D2357" w:rsidP="00D8313A">
      <w:pPr>
        <w:spacing w:before="120" w:after="120" w:line="240" w:lineRule="auto"/>
        <w:ind w:firstLine="1134"/>
        <w:jc w:val="both"/>
        <w:rPr>
          <w:rFonts w:ascii="Arial" w:hAnsi="Arial" w:cs="Arial"/>
        </w:rPr>
      </w:pPr>
      <w:r w:rsidRPr="004E6F9F">
        <w:rPr>
          <w:rFonts w:ascii="Arial" w:hAnsi="Arial" w:cs="Arial"/>
        </w:rPr>
        <w:t xml:space="preserve">A taxa global de homicídio, de 1993 a 2017, diminuiu de 7,4 para 6,1 por 100 mil </w:t>
      </w:r>
      <w:r w:rsidRPr="004E6F9F">
        <w:rPr>
          <w:rFonts w:ascii="Arial" w:hAnsi="Arial" w:cs="Arial"/>
          <w:noProof/>
        </w:rPr>
        <w:t>(UNODC, 2019)</w:t>
      </w:r>
      <w:r w:rsidRPr="004E6F9F">
        <w:rPr>
          <w:rFonts w:ascii="Arial" w:hAnsi="Arial" w:cs="Arial"/>
        </w:rPr>
        <w:t xml:space="preserve">. Porém, essa tendência de diminuição mundial pode ocultar, novamente, diferentes tendências temporais em várias localidades do globo. No Brasil, as taxas aumentaram de 11,7 por 100 mil em 1980, para 28,9 por 100 mil em 2003. Posteriormente houve uma oscilação, atingiu a marca de 26,2 por 100 mil em 2010 e voltou a aumentar nos últimos anos chegando a 32,6 por 100 mil </w:t>
      </w:r>
      <w:r w:rsidRPr="004E6F9F">
        <w:rPr>
          <w:rFonts w:ascii="Arial" w:hAnsi="Arial" w:cs="Arial"/>
          <w:noProof/>
        </w:rPr>
        <w:t>(MURRAY; CERQUEIRA; KAHN, 2013; WHO, 2019)</w:t>
      </w:r>
      <w:r w:rsidRPr="004E6F9F">
        <w:rPr>
          <w:rFonts w:ascii="Arial" w:hAnsi="Arial" w:cs="Arial"/>
        </w:rPr>
        <w:t xml:space="preserve">. Estudo ecológico sobre tendências do homicídio no Brasil revelou que de 2000 a 2015 houve aumento de 6% das taxas. Esse estudo também analisou as tendências de acordo com o porte populacional dos </w:t>
      </w:r>
      <w:r w:rsidRPr="004E6F9F">
        <w:rPr>
          <w:rFonts w:ascii="Arial" w:hAnsi="Arial" w:cs="Arial"/>
        </w:rPr>
        <w:lastRenderedPageBreak/>
        <w:t xml:space="preserve">municípios, e no estado de Santa Catarina houve aumento nos três grupos analisados: municípios de pequeno, médio e grande porte </w:t>
      </w:r>
      <w:r w:rsidRPr="004E6F9F">
        <w:rPr>
          <w:rFonts w:ascii="Arial" w:hAnsi="Arial" w:cs="Arial"/>
          <w:noProof/>
        </w:rPr>
        <w:t>(SOARES FILHO; DUARTE; MERCHAN-HAMANN, 2020)</w:t>
      </w:r>
      <w:r w:rsidRPr="004E6F9F">
        <w:rPr>
          <w:rFonts w:ascii="Arial" w:hAnsi="Arial" w:cs="Arial"/>
        </w:rPr>
        <w:t>. O presente estudo tem como objetivo verificar a tendência das taxas de homicídio por microrregião no estado de Santa Catarina.</w:t>
      </w:r>
    </w:p>
    <w:p w14:paraId="3EE6D4DB" w14:textId="77777777" w:rsidR="002D2357" w:rsidRPr="004E6F9F" w:rsidRDefault="002D2357" w:rsidP="005B16DD">
      <w:pPr>
        <w:spacing w:before="120" w:after="120" w:line="240" w:lineRule="auto"/>
        <w:ind w:firstLine="1134"/>
        <w:jc w:val="both"/>
        <w:rPr>
          <w:rFonts w:ascii="Arial" w:hAnsi="Arial" w:cs="Arial"/>
        </w:rPr>
      </w:pPr>
    </w:p>
    <w:p w14:paraId="3880BD43" w14:textId="60B48E4E" w:rsidR="002D2357" w:rsidRPr="004E6F9F" w:rsidRDefault="002D2357" w:rsidP="002D2357">
      <w:pPr>
        <w:rPr>
          <w:rFonts w:ascii="Arial" w:hAnsi="Arial" w:cs="Arial"/>
          <w:b/>
        </w:rPr>
      </w:pPr>
      <w:r w:rsidRPr="004E6F9F">
        <w:rPr>
          <w:rFonts w:ascii="Arial" w:hAnsi="Arial" w:cs="Arial"/>
          <w:b/>
        </w:rPr>
        <w:t xml:space="preserve">METODOLOGIA </w:t>
      </w:r>
    </w:p>
    <w:p w14:paraId="3DE975CD" w14:textId="77777777" w:rsidR="002D2357" w:rsidRPr="004E6F9F" w:rsidRDefault="002D2357" w:rsidP="00B2021F">
      <w:pPr>
        <w:spacing w:before="120" w:after="120" w:line="240" w:lineRule="auto"/>
        <w:jc w:val="both"/>
        <w:rPr>
          <w:rFonts w:ascii="Arial" w:hAnsi="Arial" w:cs="Arial"/>
          <w:i/>
        </w:rPr>
      </w:pPr>
      <w:r w:rsidRPr="004E6F9F">
        <w:rPr>
          <w:rFonts w:ascii="Arial" w:hAnsi="Arial" w:cs="Arial"/>
          <w:i/>
        </w:rPr>
        <w:t>Área de estudo</w:t>
      </w:r>
    </w:p>
    <w:p w14:paraId="405917BC" w14:textId="77777777" w:rsidR="002D2357" w:rsidRPr="004E6F9F" w:rsidRDefault="002D2357" w:rsidP="005F59F4">
      <w:pPr>
        <w:spacing w:before="120" w:after="120" w:line="240" w:lineRule="auto"/>
        <w:ind w:firstLine="708"/>
        <w:jc w:val="both"/>
        <w:rPr>
          <w:rFonts w:ascii="Arial" w:hAnsi="Arial" w:cs="Arial"/>
        </w:rPr>
      </w:pPr>
      <w:r w:rsidRPr="004E6F9F">
        <w:rPr>
          <w:rFonts w:ascii="Arial" w:hAnsi="Arial" w:cs="Arial"/>
        </w:rPr>
        <w:t>O estado de Santa Catarina faz parte da região sul do Brasil, possui 295 municípios agrupados em 20 microrregiões (Figura 1). Possuiu colonização predominante europeia, sobre</w:t>
      </w:r>
      <w:r>
        <w:rPr>
          <w:rFonts w:ascii="Arial" w:hAnsi="Arial" w:cs="Arial"/>
        </w:rPr>
        <w:t>tudo alemã, italiana e açoriana</w:t>
      </w:r>
      <w:r w:rsidRPr="005F59F4">
        <w:rPr>
          <w:rFonts w:ascii="Arial" w:hAnsi="Arial" w:cs="Arial"/>
        </w:rPr>
        <w:t xml:space="preserve">, entretanto, isso fez parte de um processo de reapropriação do território, se fazendo importante lembrar que em determinadas regiões </w:t>
      </w:r>
      <w:r>
        <w:rPr>
          <w:rFonts w:ascii="Arial" w:hAnsi="Arial" w:cs="Arial"/>
        </w:rPr>
        <w:t xml:space="preserve">como no oeste catarinense </w:t>
      </w:r>
      <w:r w:rsidRPr="005F59F4">
        <w:rPr>
          <w:rFonts w:ascii="Arial" w:hAnsi="Arial" w:cs="Arial"/>
        </w:rPr>
        <w:t>merece destaque a presença de caboclos e indígenas</w:t>
      </w:r>
      <w:r>
        <w:rPr>
          <w:rFonts w:ascii="Arial" w:hAnsi="Arial" w:cs="Arial"/>
        </w:rPr>
        <w:t xml:space="preserve"> </w:t>
      </w:r>
      <w:r w:rsidRPr="004E6F9F">
        <w:rPr>
          <w:rFonts w:ascii="Arial" w:hAnsi="Arial" w:cs="Arial"/>
          <w:noProof/>
        </w:rPr>
        <w:t>(SOUZA; BERNARDI; SANTOS, 2020)</w:t>
      </w:r>
      <w:r w:rsidRPr="004E6F9F">
        <w:rPr>
          <w:rFonts w:ascii="Arial" w:hAnsi="Arial" w:cs="Arial"/>
        </w:rPr>
        <w:t xml:space="preserve">. O estado apresenta uma área territorial de 95,730,684 km², a menor da região sul do Brasil. A população estimada do estado para 2020 foi de 7.252.502 habitantes (84% rural) e densidade demográfica de 65,27 </w:t>
      </w:r>
      <w:proofErr w:type="spellStart"/>
      <w:r w:rsidRPr="004E6F9F">
        <w:rPr>
          <w:rFonts w:ascii="Arial" w:hAnsi="Arial" w:cs="Arial"/>
        </w:rPr>
        <w:t>hab</w:t>
      </w:r>
      <w:proofErr w:type="spellEnd"/>
      <w:r w:rsidRPr="004E6F9F">
        <w:rPr>
          <w:rFonts w:ascii="Arial" w:hAnsi="Arial" w:cs="Arial"/>
        </w:rPr>
        <w:t xml:space="preserve">/km² </w:t>
      </w:r>
      <w:r w:rsidRPr="004E6F9F">
        <w:rPr>
          <w:rFonts w:ascii="Arial" w:hAnsi="Arial" w:cs="Arial"/>
          <w:noProof/>
        </w:rPr>
        <w:t>(IBGE, 2020)</w:t>
      </w:r>
      <w:r w:rsidRPr="004E6F9F">
        <w:rPr>
          <w:rFonts w:ascii="Arial" w:hAnsi="Arial" w:cs="Arial"/>
        </w:rPr>
        <w:t xml:space="preserve">. </w:t>
      </w:r>
    </w:p>
    <w:p w14:paraId="3589544B" w14:textId="77777777" w:rsidR="00461048" w:rsidRPr="004E6F9F" w:rsidRDefault="00461048" w:rsidP="00461048">
      <w:pPr>
        <w:jc w:val="center"/>
        <w:rPr>
          <w:rFonts w:ascii="Arial" w:hAnsi="Arial" w:cs="Arial"/>
        </w:rPr>
      </w:pPr>
      <w:r w:rsidRPr="004E6F9F">
        <w:rPr>
          <w:rFonts w:ascii="Arial" w:hAnsi="Arial" w:cs="Arial"/>
        </w:rPr>
        <w:t>Figura 1 – Mapa de localização do estado de Santa Catarina por microrregiões</w:t>
      </w:r>
    </w:p>
    <w:p w14:paraId="01F12E3D" w14:textId="77777777" w:rsidR="002D2357" w:rsidRPr="004E6F9F" w:rsidRDefault="002D2357" w:rsidP="006428BD">
      <w:pPr>
        <w:rPr>
          <w:rFonts w:ascii="Arial" w:hAnsi="Arial" w:cs="Arial"/>
        </w:rPr>
      </w:pPr>
      <w:r w:rsidRPr="004E6F9F">
        <w:rPr>
          <w:rFonts w:ascii="Arial" w:hAnsi="Arial" w:cs="Arial"/>
          <w:noProof/>
          <w:lang w:eastAsia="pt-BR"/>
        </w:rPr>
        <w:lastRenderedPageBreak/>
        <w:drawing>
          <wp:inline distT="0" distB="0" distL="0" distR="0" wp14:anchorId="40783824" wp14:editId="5F0E9BB6">
            <wp:extent cx="5758298" cy="4211103"/>
            <wp:effectExtent l="0" t="0" r="0" b="0"/>
            <wp:docPr id="7" name="Imagem 7" descr="D:\Users\danie\Documentos\0 Artigos 16\2021 Homicidio SC\local-microrregiao_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anie\Documentos\0 Artigos 16\2021 Homicidio SC\local-microrregiao_SC.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360"/>
                    <a:stretch/>
                  </pic:blipFill>
                  <pic:spPr bwMode="auto">
                    <a:xfrm>
                      <a:off x="0" y="0"/>
                      <a:ext cx="5769556" cy="4219336"/>
                    </a:xfrm>
                    <a:prstGeom prst="rect">
                      <a:avLst/>
                    </a:prstGeom>
                    <a:noFill/>
                    <a:ln>
                      <a:noFill/>
                    </a:ln>
                    <a:extLst>
                      <a:ext uri="{53640926-AAD7-44D8-BBD7-CCE9431645EC}">
                        <a14:shadowObscured xmlns:a14="http://schemas.microsoft.com/office/drawing/2010/main"/>
                      </a:ext>
                    </a:extLst>
                  </pic:spPr>
                </pic:pic>
              </a:graphicData>
            </a:graphic>
          </wp:inline>
        </w:drawing>
      </w:r>
    </w:p>
    <w:p w14:paraId="18E3E5C9" w14:textId="77777777" w:rsidR="002D2357" w:rsidRPr="004E6F9F" w:rsidRDefault="002D2357" w:rsidP="00B326CF">
      <w:pPr>
        <w:spacing w:before="120" w:after="120" w:line="240" w:lineRule="auto"/>
        <w:jc w:val="both"/>
        <w:rPr>
          <w:rFonts w:ascii="Arial" w:hAnsi="Arial" w:cs="Arial"/>
          <w:b/>
        </w:rPr>
      </w:pPr>
    </w:p>
    <w:p w14:paraId="79F3188C" w14:textId="77777777" w:rsidR="002D2357" w:rsidRPr="004E6F9F" w:rsidRDefault="002D2357" w:rsidP="007A6355">
      <w:pPr>
        <w:spacing w:before="120" w:after="120" w:line="240" w:lineRule="auto"/>
        <w:jc w:val="both"/>
        <w:rPr>
          <w:rFonts w:ascii="Arial" w:hAnsi="Arial" w:cs="Arial"/>
          <w:i/>
        </w:rPr>
      </w:pPr>
      <w:r w:rsidRPr="004E6F9F">
        <w:rPr>
          <w:rFonts w:ascii="Arial" w:hAnsi="Arial" w:cs="Arial"/>
          <w:i/>
        </w:rPr>
        <w:t>Desenho do estudo</w:t>
      </w:r>
    </w:p>
    <w:p w14:paraId="7E01AC77" w14:textId="77777777" w:rsidR="002D2357" w:rsidRPr="004E6F9F" w:rsidRDefault="002D2357" w:rsidP="004E6F9F">
      <w:pPr>
        <w:spacing w:before="120" w:after="120" w:line="240" w:lineRule="auto"/>
        <w:ind w:firstLine="1134"/>
        <w:jc w:val="both"/>
        <w:rPr>
          <w:rFonts w:ascii="Arial" w:hAnsi="Arial" w:cs="Arial"/>
        </w:rPr>
      </w:pPr>
      <w:r w:rsidRPr="004E6F9F">
        <w:rPr>
          <w:rFonts w:ascii="Arial" w:hAnsi="Arial" w:cs="Arial"/>
        </w:rPr>
        <w:t xml:space="preserve">Trata-se de um estudo ecológico de séries temporais sobre o homicídio no estado de Santa Catarina, onde foram usados dados agregados por microrregião. Dados de mortalidade foram extraídos do Sistema de Informação sobre Mortalidade (SIM), </w:t>
      </w:r>
      <w:r w:rsidRPr="00AC6EBF">
        <w:rPr>
          <w:rFonts w:ascii="Arial" w:hAnsi="Arial" w:cs="Arial"/>
        </w:rPr>
        <w:t xml:space="preserve">disponibilizados pelo Departamento de Informática do Sistema Único de Saúde, sendo um </w:t>
      </w:r>
      <w:r w:rsidRPr="004E6F9F">
        <w:rPr>
          <w:rFonts w:ascii="Arial" w:hAnsi="Arial" w:cs="Arial"/>
        </w:rPr>
        <w:t xml:space="preserve">dado oficial do Ministério da Saúde </w:t>
      </w:r>
      <w:r w:rsidRPr="004E6F9F">
        <w:rPr>
          <w:rFonts w:ascii="Arial" w:hAnsi="Arial" w:cs="Arial"/>
          <w:noProof/>
        </w:rPr>
        <w:t>(DATASUS, 2020)</w:t>
      </w:r>
      <w:r w:rsidRPr="004E6F9F">
        <w:rPr>
          <w:rFonts w:ascii="Arial" w:hAnsi="Arial" w:cs="Arial"/>
        </w:rPr>
        <w:t xml:space="preserve">. As mortes por homicídio correspondem aos códigos “X85 a Y09 – agressões” de acordo com a Décima Classificação Internacional de Doenças (CID-10). Os dados sociodemográficos foram extraídos do censo nacional do IBGE </w:t>
      </w:r>
      <w:r w:rsidRPr="004E6F9F">
        <w:rPr>
          <w:rFonts w:ascii="Arial" w:hAnsi="Arial" w:cs="Arial"/>
          <w:noProof/>
        </w:rPr>
        <w:t>(IBGE, 2010)</w:t>
      </w:r>
      <w:r w:rsidRPr="004E6F9F">
        <w:rPr>
          <w:rFonts w:ascii="Arial" w:hAnsi="Arial" w:cs="Arial"/>
        </w:rPr>
        <w:t xml:space="preserve">. Foram calculadas as taxas homicídio ajustadas por idade, pelo método direto. A população de referência foi a da Organização Mundial da Saúde </w:t>
      </w:r>
      <w:r w:rsidRPr="004E6F9F">
        <w:rPr>
          <w:rFonts w:ascii="Arial" w:hAnsi="Arial" w:cs="Arial"/>
          <w:noProof/>
        </w:rPr>
        <w:t>(AHMAD; BOSCHI-PINTO; LOPEZ; MURRAY</w:t>
      </w:r>
      <w:r w:rsidRPr="004E6F9F">
        <w:rPr>
          <w:rFonts w:ascii="Arial" w:hAnsi="Arial" w:cs="Arial"/>
          <w:i/>
          <w:noProof/>
        </w:rPr>
        <w:t xml:space="preserve"> et al.</w:t>
      </w:r>
      <w:r w:rsidRPr="004E6F9F">
        <w:rPr>
          <w:rFonts w:ascii="Arial" w:hAnsi="Arial" w:cs="Arial"/>
          <w:noProof/>
        </w:rPr>
        <w:t>, 2001)</w:t>
      </w:r>
      <w:r w:rsidRPr="004E6F9F">
        <w:rPr>
          <w:rFonts w:ascii="Arial" w:hAnsi="Arial" w:cs="Arial"/>
        </w:rPr>
        <w:t>. Todos dos dados utilizados são de acesso livre.</w:t>
      </w:r>
    </w:p>
    <w:p w14:paraId="214249F1" w14:textId="77777777" w:rsidR="002D2357" w:rsidRPr="004E6F9F" w:rsidRDefault="002D2357" w:rsidP="007A6355">
      <w:pPr>
        <w:spacing w:before="120" w:after="120" w:line="240" w:lineRule="auto"/>
        <w:jc w:val="both"/>
        <w:rPr>
          <w:rFonts w:ascii="Arial" w:hAnsi="Arial" w:cs="Arial"/>
          <w:i/>
        </w:rPr>
      </w:pPr>
    </w:p>
    <w:p w14:paraId="071B6E02" w14:textId="77777777" w:rsidR="002D2357" w:rsidRPr="004E6F9F" w:rsidRDefault="002D2357" w:rsidP="007A6355">
      <w:pPr>
        <w:spacing w:before="120" w:after="120" w:line="240" w:lineRule="auto"/>
        <w:jc w:val="both"/>
        <w:rPr>
          <w:rFonts w:ascii="Arial" w:hAnsi="Arial" w:cs="Arial"/>
          <w:i/>
        </w:rPr>
      </w:pPr>
      <w:r w:rsidRPr="004E6F9F">
        <w:rPr>
          <w:rFonts w:ascii="Arial" w:hAnsi="Arial" w:cs="Arial"/>
          <w:i/>
        </w:rPr>
        <w:t>Análise</w:t>
      </w:r>
    </w:p>
    <w:p w14:paraId="4257F2D5" w14:textId="77777777" w:rsidR="002D2357" w:rsidRPr="004E6F9F" w:rsidRDefault="002D2357" w:rsidP="004E6F9F">
      <w:pPr>
        <w:ind w:firstLine="1134"/>
        <w:jc w:val="both"/>
        <w:rPr>
          <w:rFonts w:ascii="Arial" w:hAnsi="Arial" w:cs="Arial"/>
        </w:rPr>
      </w:pPr>
      <w:r w:rsidRPr="004E6F9F">
        <w:rPr>
          <w:rFonts w:ascii="Arial" w:hAnsi="Arial" w:cs="Arial"/>
        </w:rPr>
        <w:lastRenderedPageBreak/>
        <w:t xml:space="preserve">A análise de tendência foi realizada calculando a variação percentual anual (VPA) usando o </w:t>
      </w:r>
      <w:proofErr w:type="spellStart"/>
      <w:r w:rsidRPr="00AC6EBF">
        <w:rPr>
          <w:rFonts w:ascii="Arial" w:hAnsi="Arial" w:cs="Arial"/>
          <w:i/>
        </w:rPr>
        <w:t>Joinpoint</w:t>
      </w:r>
      <w:proofErr w:type="spellEnd"/>
      <w:r w:rsidRPr="00AC6EBF">
        <w:rPr>
          <w:rFonts w:ascii="Arial" w:hAnsi="Arial" w:cs="Arial"/>
          <w:i/>
        </w:rPr>
        <w:t xml:space="preserve"> </w:t>
      </w:r>
      <w:proofErr w:type="spellStart"/>
      <w:r w:rsidRPr="00AC6EBF">
        <w:rPr>
          <w:rFonts w:ascii="Arial" w:hAnsi="Arial" w:cs="Arial"/>
          <w:i/>
        </w:rPr>
        <w:t>Regression</w:t>
      </w:r>
      <w:proofErr w:type="spellEnd"/>
      <w:r w:rsidRPr="00AC6EBF">
        <w:rPr>
          <w:rFonts w:ascii="Arial" w:hAnsi="Arial" w:cs="Arial"/>
          <w:i/>
        </w:rPr>
        <w:t xml:space="preserve"> </w:t>
      </w:r>
      <w:proofErr w:type="spellStart"/>
      <w:r w:rsidRPr="00AC6EBF">
        <w:rPr>
          <w:rFonts w:ascii="Arial" w:hAnsi="Arial" w:cs="Arial"/>
          <w:i/>
        </w:rPr>
        <w:t>Program</w:t>
      </w:r>
      <w:proofErr w:type="spellEnd"/>
      <w:r w:rsidRPr="004E6F9F">
        <w:rPr>
          <w:rFonts w:ascii="Arial" w:hAnsi="Arial" w:cs="Arial"/>
        </w:rPr>
        <w:t xml:space="preserve"> 4.7.0 </w:t>
      </w:r>
      <w:r>
        <w:rPr>
          <w:rFonts w:ascii="Arial" w:hAnsi="Arial" w:cs="Arial"/>
          <w:noProof/>
        </w:rPr>
        <w:t xml:space="preserve">(NATIONAL CANCER </w:t>
      </w:r>
      <w:r w:rsidRPr="004E6F9F">
        <w:rPr>
          <w:rFonts w:ascii="Arial" w:hAnsi="Arial" w:cs="Arial"/>
          <w:noProof/>
        </w:rPr>
        <w:t>INSTITUTE, 2019)</w:t>
      </w:r>
      <w:r w:rsidRPr="004E6F9F">
        <w:rPr>
          <w:rFonts w:ascii="Arial" w:hAnsi="Arial" w:cs="Arial"/>
        </w:rPr>
        <w:t xml:space="preserve">. O programa utiliza o método de regressão de Poisson log-linear que aplica o teste de permutação de Monte Carlo para identificar pontos onde a linha de tendência muda significativamente em magnitude ou direção. O </w:t>
      </w:r>
      <w:proofErr w:type="spellStart"/>
      <w:r w:rsidRPr="00AC6EBF">
        <w:rPr>
          <w:rFonts w:ascii="Arial" w:hAnsi="Arial" w:cs="Arial"/>
          <w:i/>
        </w:rPr>
        <w:t>Joinpoint</w:t>
      </w:r>
      <w:proofErr w:type="spellEnd"/>
      <w:r w:rsidRPr="004E6F9F">
        <w:rPr>
          <w:rFonts w:ascii="Arial" w:hAnsi="Arial" w:cs="Arial"/>
        </w:rPr>
        <w:t xml:space="preserve"> tem sido usado em estudos epidemiológicos para avaliar tendências temporais nas taxas de mortalidade</w:t>
      </w:r>
      <w:r>
        <w:rPr>
          <w:rFonts w:ascii="Arial" w:hAnsi="Arial" w:cs="Arial"/>
        </w:rPr>
        <w:t xml:space="preserve"> por diversas causas </w:t>
      </w:r>
      <w:r w:rsidRPr="002D2357">
        <w:rPr>
          <w:rFonts w:ascii="Arial" w:hAnsi="Arial" w:cs="Arial"/>
        </w:rPr>
        <w:t>(BAN</w:t>
      </w:r>
      <w:r>
        <w:rPr>
          <w:rFonts w:ascii="Arial" w:hAnsi="Arial" w:cs="Arial"/>
        </w:rPr>
        <w:t>DO; BRUNONI; FERNANDES et al., 2012</w:t>
      </w:r>
      <w:r w:rsidRPr="002D2357">
        <w:rPr>
          <w:rFonts w:ascii="Arial" w:hAnsi="Arial" w:cs="Arial"/>
        </w:rPr>
        <w:t>)</w:t>
      </w:r>
      <w:r w:rsidRPr="004E6F9F">
        <w:rPr>
          <w:rFonts w:ascii="Arial" w:hAnsi="Arial" w:cs="Arial"/>
        </w:rPr>
        <w:t xml:space="preserve">. A análise começa com o número mínimo de pontos de junção (zero, que é uma linha reta) e testa se um ou mais pontos de junção são estatisticamente significativos e devem ser adicionados ao modelo. Para este estudo, os parâmetros selecionados foram: método </w:t>
      </w:r>
      <w:r w:rsidRPr="009525C5">
        <w:rPr>
          <w:rFonts w:ascii="Arial" w:hAnsi="Arial" w:cs="Arial"/>
          <w:i/>
        </w:rPr>
        <w:t>Grid Search</w:t>
      </w:r>
      <w:r w:rsidRPr="004E6F9F">
        <w:rPr>
          <w:rFonts w:ascii="Arial" w:hAnsi="Arial" w:cs="Arial"/>
        </w:rPr>
        <w:t xml:space="preserve"> (os pontos de junção ocorrem exatamente nas observações), duas observações mínimas entre pontos de junção e no máximo cinco pontos de junção por análise. A VPA e o intervalo de confiança (IC) de 95% foram estimados para os segmentos de tempo em ambos os lados dos pontos de inflexão. O </w:t>
      </w:r>
      <w:proofErr w:type="spellStart"/>
      <w:r w:rsidRPr="00AC6EBF">
        <w:rPr>
          <w:rFonts w:ascii="Arial" w:hAnsi="Arial" w:cs="Arial"/>
          <w:i/>
        </w:rPr>
        <w:t>Joinpoint</w:t>
      </w:r>
      <w:proofErr w:type="spellEnd"/>
      <w:r w:rsidRPr="004E6F9F">
        <w:rPr>
          <w:rFonts w:ascii="Arial" w:hAnsi="Arial" w:cs="Arial"/>
        </w:rPr>
        <w:t xml:space="preserve"> não processa a análise quando a variável dependente é nula em algum ano da série. As microrregiões Ituporanga, Tijucas e Tabuleiro são as menos populosas (2,8% do total) e não apresentaram casos de homicídio em 1998. Tabuleiro apresentou valores nulos em outros seis anos da série. Por esse motivo e por serem áreas adjacentes, essas três microrregiões foram agrupadas e o período de análise foi de 1999 a 2019. Foram elaborados mapas temáticos para caracterização da área do estudo com os métodos </w:t>
      </w:r>
      <w:proofErr w:type="spellStart"/>
      <w:r w:rsidRPr="004E6F9F">
        <w:rPr>
          <w:rFonts w:ascii="Arial" w:hAnsi="Arial" w:cs="Arial"/>
        </w:rPr>
        <w:t>corocromático</w:t>
      </w:r>
      <w:proofErr w:type="spellEnd"/>
      <w:r w:rsidRPr="004E6F9F">
        <w:rPr>
          <w:rFonts w:ascii="Arial" w:hAnsi="Arial" w:cs="Arial"/>
        </w:rPr>
        <w:t xml:space="preserve">, </w:t>
      </w:r>
      <w:proofErr w:type="spellStart"/>
      <w:r w:rsidRPr="004E6F9F">
        <w:rPr>
          <w:rFonts w:ascii="Arial" w:hAnsi="Arial" w:cs="Arial"/>
        </w:rPr>
        <w:t>coroplético</w:t>
      </w:r>
      <w:proofErr w:type="spellEnd"/>
      <w:r w:rsidRPr="004E6F9F">
        <w:rPr>
          <w:rFonts w:ascii="Arial" w:hAnsi="Arial" w:cs="Arial"/>
        </w:rPr>
        <w:t xml:space="preserve"> e das figuras geométricas proporcionais </w:t>
      </w:r>
      <w:r w:rsidRPr="004E6F9F">
        <w:rPr>
          <w:rFonts w:ascii="Arial" w:hAnsi="Arial" w:cs="Arial"/>
          <w:noProof/>
        </w:rPr>
        <w:t>(MARTINELLI, 2013)</w:t>
      </w:r>
      <w:r w:rsidRPr="004E6F9F">
        <w:rPr>
          <w:rFonts w:ascii="Arial" w:hAnsi="Arial" w:cs="Arial"/>
        </w:rPr>
        <w:t xml:space="preserve">. Foi utilizado o sistema de informação geográfica </w:t>
      </w:r>
      <w:proofErr w:type="spellStart"/>
      <w:r w:rsidRPr="004E6F9F">
        <w:rPr>
          <w:rFonts w:ascii="Arial" w:hAnsi="Arial" w:cs="Arial"/>
        </w:rPr>
        <w:t>ArcGIS</w:t>
      </w:r>
      <w:proofErr w:type="spellEnd"/>
      <w:r w:rsidRPr="004E6F9F">
        <w:rPr>
          <w:rFonts w:ascii="Arial" w:hAnsi="Arial" w:cs="Arial"/>
        </w:rPr>
        <w:t xml:space="preserve"> 10.6 para a elaboração dos mapas.</w:t>
      </w:r>
    </w:p>
    <w:p w14:paraId="430BA062" w14:textId="707384C1" w:rsidR="002D2357" w:rsidRDefault="002D2357" w:rsidP="00B326CF">
      <w:pPr>
        <w:spacing w:before="120" w:after="120" w:line="240" w:lineRule="auto"/>
        <w:jc w:val="both"/>
        <w:rPr>
          <w:rFonts w:ascii="Arial" w:hAnsi="Arial" w:cs="Arial"/>
          <w:i/>
        </w:rPr>
      </w:pPr>
    </w:p>
    <w:p w14:paraId="1AB8D335" w14:textId="3F8B4BBB" w:rsidR="00461048" w:rsidRDefault="00461048" w:rsidP="00B326CF">
      <w:pPr>
        <w:spacing w:before="120" w:after="120" w:line="240" w:lineRule="auto"/>
        <w:jc w:val="both"/>
        <w:rPr>
          <w:rFonts w:ascii="Arial" w:hAnsi="Arial" w:cs="Arial"/>
          <w:i/>
        </w:rPr>
      </w:pPr>
    </w:p>
    <w:p w14:paraId="5DE5169B" w14:textId="77777777" w:rsidR="00461048" w:rsidRPr="004E6F9F" w:rsidRDefault="00461048" w:rsidP="00B326CF">
      <w:pPr>
        <w:spacing w:before="120" w:after="120" w:line="240" w:lineRule="auto"/>
        <w:jc w:val="both"/>
        <w:rPr>
          <w:rFonts w:ascii="Arial" w:hAnsi="Arial" w:cs="Arial"/>
          <w:i/>
        </w:rPr>
      </w:pPr>
    </w:p>
    <w:p w14:paraId="3014A2A0" w14:textId="77777777" w:rsidR="002D2357" w:rsidRPr="004E6F9F" w:rsidRDefault="002D2357" w:rsidP="00F51C8F">
      <w:pPr>
        <w:spacing w:before="120" w:after="120" w:line="240" w:lineRule="auto"/>
        <w:jc w:val="both"/>
        <w:rPr>
          <w:rStyle w:val="hps"/>
          <w:rFonts w:ascii="Arial" w:hAnsi="Arial" w:cs="Arial"/>
          <w:b/>
        </w:rPr>
      </w:pPr>
      <w:r w:rsidRPr="004E6F9F">
        <w:rPr>
          <w:rStyle w:val="hps"/>
          <w:rFonts w:ascii="Arial" w:hAnsi="Arial" w:cs="Arial"/>
          <w:b/>
        </w:rPr>
        <w:t>RESULTADO</w:t>
      </w:r>
      <w:r>
        <w:rPr>
          <w:rStyle w:val="hps"/>
          <w:rFonts w:ascii="Arial" w:hAnsi="Arial" w:cs="Arial"/>
          <w:b/>
        </w:rPr>
        <w:t>S</w:t>
      </w:r>
      <w:r w:rsidRPr="004E6F9F">
        <w:rPr>
          <w:rStyle w:val="hps"/>
          <w:rFonts w:ascii="Arial" w:hAnsi="Arial" w:cs="Arial"/>
          <w:b/>
        </w:rPr>
        <w:t xml:space="preserve"> E DISCUSSÃO</w:t>
      </w:r>
    </w:p>
    <w:p w14:paraId="5165FE83" w14:textId="0087D589" w:rsidR="00485B68" w:rsidRPr="004E6F9F" w:rsidRDefault="002D2357" w:rsidP="004E6F9F">
      <w:pPr>
        <w:spacing w:before="120" w:after="120" w:line="240" w:lineRule="auto"/>
        <w:ind w:firstLine="1134"/>
        <w:jc w:val="both"/>
        <w:rPr>
          <w:rStyle w:val="hps"/>
          <w:rFonts w:ascii="Arial" w:hAnsi="Arial" w:cs="Arial"/>
        </w:rPr>
      </w:pPr>
      <w:r w:rsidRPr="004E6F9F">
        <w:rPr>
          <w:rStyle w:val="hps"/>
          <w:rFonts w:ascii="Arial" w:hAnsi="Arial" w:cs="Arial"/>
        </w:rPr>
        <w:t xml:space="preserve">Os mapas a seguir apresentam a caracterização do perfil sociodemográfico da área de estudo (Figura 2). As microrregiões mais populosas localizam-se à nordeste, no litoral catarinense, como Florianópolis e Joinville, com população acima de 840 mil habitantes cada, seguidos por Blumenau e Itajaí. Nota-se também que a população urbana nessas áreas é alta, acima de 90%. </w:t>
      </w:r>
    </w:p>
    <w:p w14:paraId="32F7505B" w14:textId="77777777" w:rsidR="002D2357" w:rsidRPr="004E6F9F" w:rsidRDefault="002D2357" w:rsidP="006A0FA8">
      <w:pPr>
        <w:rPr>
          <w:rFonts w:ascii="Arial" w:hAnsi="Arial" w:cs="Arial"/>
        </w:rPr>
      </w:pPr>
      <w:r w:rsidRPr="004E6F9F">
        <w:rPr>
          <w:rFonts w:ascii="Arial" w:hAnsi="Arial" w:cs="Arial"/>
        </w:rPr>
        <w:t>Figura 2 – População e renda per capita (R$) por microrregião no estado de Santa Catarina, 2010</w:t>
      </w:r>
    </w:p>
    <w:p w14:paraId="54D28C5F" w14:textId="77777777" w:rsidR="002D2357" w:rsidRPr="004E6F9F" w:rsidRDefault="002D2357" w:rsidP="006428BD">
      <w:pPr>
        <w:jc w:val="center"/>
        <w:rPr>
          <w:rFonts w:ascii="Arial" w:hAnsi="Arial" w:cs="Arial"/>
        </w:rPr>
      </w:pPr>
      <w:r w:rsidRPr="004E6F9F">
        <w:rPr>
          <w:rFonts w:ascii="Arial" w:hAnsi="Arial" w:cs="Arial"/>
          <w:noProof/>
          <w:lang w:eastAsia="pt-BR"/>
        </w:rPr>
        <w:lastRenderedPageBreak/>
        <w:drawing>
          <wp:inline distT="0" distB="0" distL="0" distR="0" wp14:anchorId="4E787EC4" wp14:editId="688F6003">
            <wp:extent cx="3534050" cy="4695825"/>
            <wp:effectExtent l="0" t="0" r="9525" b="0"/>
            <wp:docPr id="6" name="Imagem 6" descr="D:\Users\danie\Documentos\0 Artigos 16\2021 Homicidio SC\SC POP Re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anie\Documentos\0 Artigos 16\2021 Homicidio SC\SC POP Renda.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80" t="4750" r="7363" b="10210"/>
                    <a:stretch/>
                  </pic:blipFill>
                  <pic:spPr bwMode="auto">
                    <a:xfrm>
                      <a:off x="0" y="0"/>
                      <a:ext cx="3550912" cy="4718231"/>
                    </a:xfrm>
                    <a:prstGeom prst="rect">
                      <a:avLst/>
                    </a:prstGeom>
                    <a:noFill/>
                    <a:ln>
                      <a:noFill/>
                    </a:ln>
                    <a:extLst>
                      <a:ext uri="{53640926-AAD7-44D8-BBD7-CCE9431645EC}">
                        <a14:shadowObscured xmlns:a14="http://schemas.microsoft.com/office/drawing/2010/main"/>
                      </a:ext>
                    </a:extLst>
                  </pic:spPr>
                </pic:pic>
              </a:graphicData>
            </a:graphic>
          </wp:inline>
        </w:drawing>
      </w:r>
    </w:p>
    <w:p w14:paraId="2C600622" w14:textId="77777777" w:rsidR="002D2357" w:rsidRPr="004E6F9F" w:rsidRDefault="002D2357" w:rsidP="00F51C8F">
      <w:pPr>
        <w:spacing w:before="120" w:after="120" w:line="240" w:lineRule="auto"/>
        <w:jc w:val="both"/>
        <w:rPr>
          <w:rStyle w:val="hps"/>
          <w:rFonts w:ascii="Arial" w:hAnsi="Arial" w:cs="Arial"/>
          <w:b/>
        </w:rPr>
      </w:pPr>
    </w:p>
    <w:p w14:paraId="76178F6E" w14:textId="77777777" w:rsidR="00461048" w:rsidRPr="004E6F9F" w:rsidRDefault="00461048" w:rsidP="00461048">
      <w:pPr>
        <w:spacing w:before="120" w:after="120" w:line="240" w:lineRule="auto"/>
        <w:ind w:firstLine="1134"/>
        <w:jc w:val="both"/>
        <w:rPr>
          <w:rStyle w:val="hps"/>
          <w:rFonts w:ascii="Arial" w:hAnsi="Arial" w:cs="Arial"/>
        </w:rPr>
      </w:pPr>
      <w:r w:rsidRPr="004E6F9F">
        <w:rPr>
          <w:rStyle w:val="hps"/>
          <w:rFonts w:ascii="Arial" w:hAnsi="Arial" w:cs="Arial"/>
        </w:rPr>
        <w:t>As três microrregiões menos populosas, localizam-se próximas a Florianópolis, que por sua vez apresentam os maiores percentuais da população rural, variando de 25,4% em Tijucas a 64,5% em Tabuleiro. Nas demais microrregiões, a carga da população rural é mais expressiva, variando em torno de 20% a 40%. A renda per capita em Santa Catarina no último censo foi R$ 967. Quanto à distribuição desse indicador, nota-se que a concentração é maior nas microrregiões mais populosas, com a máxima em Florianópolis (R$ 1.351), seguidos por Blumenau, Joinville e Itajaí, com renda superior a R$ 1.000 (Figura 2). Tabuleiro que faz fronteira com Florianópolis, contrasta com a renda de R$ 665. Canoinhas e Curitibanos na região central compõem as microrregiões com as menores rendas. Nas áreas da região oeste (São Miguel Oeste, Chapecó, Concórdia), assim como à sudeste (Criciúma e Tubarão) apresentaram renda próximo à média do estado, variando de R$ 783 a R$ 940.</w:t>
      </w:r>
    </w:p>
    <w:p w14:paraId="7AD81639" w14:textId="77777777" w:rsidR="002D2357" w:rsidRPr="004E6F9F" w:rsidRDefault="002D2357" w:rsidP="004E6F9F">
      <w:pPr>
        <w:spacing w:before="120" w:after="120" w:line="240" w:lineRule="auto"/>
        <w:ind w:firstLine="1134"/>
        <w:jc w:val="both"/>
        <w:rPr>
          <w:rStyle w:val="hps"/>
          <w:rFonts w:ascii="Arial" w:hAnsi="Arial" w:cs="Arial"/>
        </w:rPr>
      </w:pPr>
      <w:r w:rsidRPr="004E6F9F">
        <w:rPr>
          <w:rStyle w:val="hps"/>
          <w:rFonts w:ascii="Arial" w:hAnsi="Arial" w:cs="Arial"/>
        </w:rPr>
        <w:t xml:space="preserve">No período estudado ocorreram 16.408 homicídios em Santa Catarina, correspondente a uma taxa de 11,3 casos por 100 mil habitantes. O gráfico a seguir </w:t>
      </w:r>
      <w:r w:rsidRPr="004E6F9F">
        <w:rPr>
          <w:rStyle w:val="hps"/>
          <w:rFonts w:ascii="Arial" w:hAnsi="Arial" w:cs="Arial"/>
        </w:rPr>
        <w:lastRenderedPageBreak/>
        <w:t xml:space="preserve">apresenta a tendência das taxas de homicídio em Santa Catarina. Os pontos representam o dado observado, e a linha em negrito a tendência de aumento. De 2003 a 2017 houve aumento significativo com variação percentual anual (VPA) de +1,28. </w:t>
      </w:r>
    </w:p>
    <w:p w14:paraId="4ED97AAC" w14:textId="77777777" w:rsidR="002D2357" w:rsidRPr="004E6F9F" w:rsidRDefault="002D2357" w:rsidP="00F51C8F">
      <w:pPr>
        <w:spacing w:before="120" w:after="120" w:line="240" w:lineRule="auto"/>
        <w:jc w:val="both"/>
        <w:rPr>
          <w:rStyle w:val="hps"/>
          <w:rFonts w:ascii="Arial" w:hAnsi="Arial" w:cs="Arial"/>
        </w:rPr>
      </w:pPr>
    </w:p>
    <w:p w14:paraId="0843FCF8" w14:textId="77777777" w:rsidR="002D2357" w:rsidRPr="004E6F9F" w:rsidRDefault="002D2357" w:rsidP="006A0FA8">
      <w:pPr>
        <w:rPr>
          <w:rFonts w:ascii="Arial" w:hAnsi="Arial" w:cs="Arial"/>
        </w:rPr>
      </w:pPr>
      <w:r w:rsidRPr="004E6F9F">
        <w:rPr>
          <w:rFonts w:ascii="Arial" w:hAnsi="Arial" w:cs="Arial"/>
        </w:rPr>
        <w:t>Figura 3 – Tendência das taxas de homicídio no estado de Santa Catarina, 1996 a 2019</w:t>
      </w:r>
    </w:p>
    <w:p w14:paraId="334C5976" w14:textId="242B19D0" w:rsidR="002D2357" w:rsidRPr="004E6F9F" w:rsidRDefault="00461048" w:rsidP="00A32F71">
      <w:pPr>
        <w:spacing w:after="0" w:line="240" w:lineRule="auto"/>
        <w:rPr>
          <w:rFonts w:ascii="Arial" w:hAnsi="Arial" w:cs="Arial"/>
        </w:rPr>
      </w:pPr>
      <w:r w:rsidRPr="004E6F9F">
        <w:rPr>
          <w:rFonts w:ascii="Arial" w:hAnsi="Arial" w:cs="Arial"/>
          <w:noProof/>
          <w:lang w:eastAsia="pt-BR"/>
        </w:rPr>
        <mc:AlternateContent>
          <mc:Choice Requires="wpg">
            <w:drawing>
              <wp:anchor distT="0" distB="0" distL="114300" distR="114300" simplePos="0" relativeHeight="251660288" behindDoc="0" locked="0" layoutInCell="1" allowOverlap="1" wp14:anchorId="6CFCFA93" wp14:editId="158BCF0C">
                <wp:simplePos x="0" y="0"/>
                <wp:positionH relativeFrom="column">
                  <wp:posOffset>559435</wp:posOffset>
                </wp:positionH>
                <wp:positionV relativeFrom="paragraph">
                  <wp:posOffset>1893570</wp:posOffset>
                </wp:positionV>
                <wp:extent cx="3381270" cy="666750"/>
                <wp:effectExtent l="0" t="0" r="0" b="0"/>
                <wp:wrapNone/>
                <wp:docPr id="13" name="Agrupar 12"/>
                <wp:cNvGraphicFramePr/>
                <a:graphic xmlns:a="http://schemas.openxmlformats.org/drawingml/2006/main">
                  <a:graphicData uri="http://schemas.microsoft.com/office/word/2010/wordprocessingGroup">
                    <wpg:wgp>
                      <wpg:cNvGrpSpPr/>
                      <wpg:grpSpPr>
                        <a:xfrm>
                          <a:off x="0" y="0"/>
                          <a:ext cx="3381270" cy="666750"/>
                          <a:chOff x="33368" y="178"/>
                          <a:chExt cx="3202131" cy="535626"/>
                        </a:xfrm>
                      </wpg:grpSpPr>
                      <wps:wsp>
                        <wps:cNvPr id="2" name="CaixaDeTexto 9"/>
                        <wps:cNvSpPr txBox="1"/>
                        <wps:spPr>
                          <a:xfrm>
                            <a:off x="33368" y="178"/>
                            <a:ext cx="3202131" cy="535626"/>
                          </a:xfrm>
                          <a:prstGeom prst="rect">
                            <a:avLst/>
                          </a:prstGeom>
                          <a:noFill/>
                        </wps:spPr>
                        <wps:txbx>
                          <w:txbxContent>
                            <w:p w14:paraId="03E18A04" w14:textId="77777777" w:rsidR="002D2357" w:rsidRPr="00737D41" w:rsidRDefault="002D2357" w:rsidP="00F51C8F">
                              <w:pPr>
                                <w:pStyle w:val="NormalWeb"/>
                                <w:spacing w:before="0" w:beforeAutospacing="0" w:after="0" w:afterAutospacing="0"/>
                                <w:rPr>
                                  <w:rFonts w:asciiTheme="minorHAnsi" w:hAnsi="Calibri" w:cstheme="minorBidi"/>
                                  <w:color w:val="000000" w:themeColor="text1"/>
                                  <w:kern w:val="24"/>
                                </w:rPr>
                              </w:pPr>
                              <w:r w:rsidRPr="00737D41">
                                <w:rPr>
                                  <w:rFonts w:asciiTheme="minorHAnsi" w:hAnsi="Calibri" w:cstheme="minorBidi"/>
                                  <w:color w:val="000000" w:themeColor="text1"/>
                                  <w:kern w:val="24"/>
                                </w:rPr>
                                <w:t>VPA: Variação Percentual Anual</w:t>
                              </w:r>
                            </w:p>
                            <w:p w14:paraId="7E786B41" w14:textId="77777777" w:rsidR="002D2357" w:rsidRPr="00737D41" w:rsidRDefault="002D2357" w:rsidP="00F51C8F">
                              <w:pPr>
                                <w:pStyle w:val="NormalWeb"/>
                                <w:spacing w:before="0" w:beforeAutospacing="0" w:after="0" w:afterAutospacing="0"/>
                                <w:ind w:left="708"/>
                                <w:rPr>
                                  <w:color w:val="000000" w:themeColor="text1"/>
                                </w:rPr>
                              </w:pPr>
                              <w:r w:rsidRPr="00737D41">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  </w:t>
                              </w:r>
                              <w:r w:rsidRPr="00737D41">
                                <w:rPr>
                                  <w:rFonts w:asciiTheme="minorHAnsi" w:hAnsi="Calibri" w:cstheme="minorBidi"/>
                                  <w:color w:val="000000" w:themeColor="text1"/>
                                  <w:kern w:val="24"/>
                                </w:rPr>
                                <w:t xml:space="preserve">Tendência de aumento ou diminuição                  </w:t>
                              </w:r>
                            </w:p>
                            <w:p w14:paraId="6CB79878" w14:textId="77777777" w:rsidR="002D2357" w:rsidRPr="00737D41" w:rsidRDefault="002D2357" w:rsidP="00F51C8F">
                              <w:pPr>
                                <w:pStyle w:val="NormalWeb"/>
                                <w:spacing w:before="0" w:beforeAutospacing="0" w:after="0" w:afterAutospacing="0"/>
                                <w:ind w:firstLine="708"/>
                                <w:rPr>
                                  <w:color w:val="000000" w:themeColor="text1"/>
                                </w:rPr>
                              </w:pPr>
                              <w:r w:rsidRPr="00737D41">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  </w:t>
                              </w:r>
                              <w:r w:rsidRPr="00737D41">
                                <w:rPr>
                                  <w:rFonts w:asciiTheme="minorHAnsi" w:hAnsi="Calibri" w:cstheme="minorBidi"/>
                                  <w:color w:val="000000" w:themeColor="text1"/>
                                  <w:kern w:val="24"/>
                                </w:rPr>
                                <w:t>Estabilidade</w:t>
                              </w:r>
                            </w:p>
                          </w:txbxContent>
                        </wps:txbx>
                        <wps:bodyPr wrap="square" rtlCol="0">
                          <a:noAutofit/>
                        </wps:bodyPr>
                      </wps:wsp>
                      <wps:wsp>
                        <wps:cNvPr id="3" name="Conector reto 3"/>
                        <wps:cNvCnPr/>
                        <wps:spPr>
                          <a:xfrm>
                            <a:off x="174906" y="261585"/>
                            <a:ext cx="512882" cy="4762"/>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 name="Conector reto 4"/>
                        <wps:cNvCnPr/>
                        <wps:spPr>
                          <a:xfrm>
                            <a:off x="174836" y="403734"/>
                            <a:ext cx="512818" cy="0"/>
                          </a:xfrm>
                          <a:prstGeom prst="line">
                            <a:avLst/>
                          </a:prstGeom>
                          <a:ln w="31750">
                            <a:solidFill>
                              <a:schemeClr val="bg1">
                                <a:lumMod val="6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5" name="Retângulo 5"/>
                        <wps:cNvSpPr/>
                        <wps:spPr>
                          <a:xfrm>
                            <a:off x="100445" y="19046"/>
                            <a:ext cx="2886775" cy="463122"/>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CFCFA93" id="Agrupar 12" o:spid="_x0000_s1026" style="position:absolute;margin-left:44.05pt;margin-top:149.1pt;width:266.25pt;height:52.5pt;z-index:251660288;mso-width-relative:margin;mso-height-relative:margin" coordorigin="333,1" coordsize="32021,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">
                <v:shapetype id="_x0000_t202" coordsize="21600,21600" o:spt="202" path="m,l,21600r21600,l21600,xe">
                  <v:stroke joinstyle="miter"/>
                  <v:path gradientshapeok="t" o:connecttype="rect"/>
                </v:shapetype>
                <v:shape id="CaixaDeTexto 9" o:spid="_x0000_s1027" type="#_x0000_t202" style="position:absolute;left:333;top:1;width:32021;height: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03E18A04" w14:textId="77777777" w:rsidR="002D2357" w:rsidRPr="00737D41" w:rsidRDefault="002D2357" w:rsidP="00F51C8F">
                        <w:pPr>
                          <w:pStyle w:val="NormalWeb"/>
                          <w:spacing w:before="0" w:beforeAutospacing="0" w:after="0" w:afterAutospacing="0"/>
                          <w:rPr>
                            <w:rFonts w:asciiTheme="minorHAnsi" w:hAnsi="Calibri" w:cstheme="minorBidi"/>
                            <w:color w:val="000000" w:themeColor="text1"/>
                            <w:kern w:val="24"/>
                          </w:rPr>
                        </w:pPr>
                        <w:r w:rsidRPr="00737D41">
                          <w:rPr>
                            <w:rFonts w:asciiTheme="minorHAnsi" w:hAnsi="Calibri" w:cstheme="minorBidi"/>
                            <w:color w:val="000000" w:themeColor="text1"/>
                            <w:kern w:val="24"/>
                          </w:rPr>
                          <w:t>VPA: Variação Percentual Anual</w:t>
                        </w:r>
                      </w:p>
                      <w:p w14:paraId="7E786B41" w14:textId="77777777" w:rsidR="002D2357" w:rsidRPr="00737D41" w:rsidRDefault="002D2357" w:rsidP="00F51C8F">
                        <w:pPr>
                          <w:pStyle w:val="NormalWeb"/>
                          <w:spacing w:before="0" w:beforeAutospacing="0" w:after="0" w:afterAutospacing="0"/>
                          <w:ind w:left="708"/>
                          <w:rPr>
                            <w:color w:val="000000" w:themeColor="text1"/>
                          </w:rPr>
                        </w:pPr>
                        <w:r w:rsidRPr="00737D41">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  </w:t>
                        </w:r>
                        <w:r w:rsidRPr="00737D41">
                          <w:rPr>
                            <w:rFonts w:asciiTheme="minorHAnsi" w:hAnsi="Calibri" w:cstheme="minorBidi"/>
                            <w:color w:val="000000" w:themeColor="text1"/>
                            <w:kern w:val="24"/>
                          </w:rPr>
                          <w:t xml:space="preserve">Tendência de aumento ou diminuição                  </w:t>
                        </w:r>
                      </w:p>
                      <w:p w14:paraId="6CB79878" w14:textId="77777777" w:rsidR="002D2357" w:rsidRPr="00737D41" w:rsidRDefault="002D2357" w:rsidP="00F51C8F">
                        <w:pPr>
                          <w:pStyle w:val="NormalWeb"/>
                          <w:spacing w:before="0" w:beforeAutospacing="0" w:after="0" w:afterAutospacing="0"/>
                          <w:ind w:firstLine="708"/>
                          <w:rPr>
                            <w:color w:val="000000" w:themeColor="text1"/>
                          </w:rPr>
                        </w:pPr>
                        <w:r w:rsidRPr="00737D41">
                          <w:rPr>
                            <w:rFonts w:asciiTheme="minorHAnsi" w:hAnsi="Calibri" w:cstheme="minorBidi"/>
                            <w:color w:val="000000" w:themeColor="text1"/>
                            <w:kern w:val="24"/>
                          </w:rPr>
                          <w:t xml:space="preserve">    </w:t>
                        </w:r>
                        <w:r>
                          <w:rPr>
                            <w:rFonts w:asciiTheme="minorHAnsi" w:hAnsi="Calibri" w:cstheme="minorBidi"/>
                            <w:color w:val="000000" w:themeColor="text1"/>
                            <w:kern w:val="24"/>
                          </w:rPr>
                          <w:t xml:space="preserve">  </w:t>
                        </w:r>
                        <w:r w:rsidRPr="00737D41">
                          <w:rPr>
                            <w:rFonts w:asciiTheme="minorHAnsi" w:hAnsi="Calibri" w:cstheme="minorBidi"/>
                            <w:color w:val="000000" w:themeColor="text1"/>
                            <w:kern w:val="24"/>
                          </w:rPr>
                          <w:t>Estabilidade</w:t>
                        </w:r>
                      </w:p>
                    </w:txbxContent>
                  </v:textbox>
                </v:shape>
                <v:line id="Conector reto 3" o:spid="_x0000_s1028" style="position:absolute;visibility:visible;mso-wrap-style:square" from="1749,2615" to="6877,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" strokecolor="black [3213]" strokeweight="2.5pt">
                  <v:stroke joinstyle="miter"/>
                </v:line>
                <v:line id="Conector reto 4" o:spid="_x0000_s1029" style="position:absolute;visibility:visible;mso-wrap-style:square" from="1748,4037" to="6876,4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" strokecolor="#a5a5a5 [2092]" strokeweight="2.5pt">
                  <v:stroke joinstyle="miter"/>
                </v:line>
                <v:rect id="Retângulo 5" o:spid="_x0000_s1030" style="position:absolute;left:1004;top:190;width:28868;height:4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" filled="f" strokecolor="#7f7f7f [1612]" strokeweight="1pt"/>
              </v:group>
            </w:pict>
          </mc:Fallback>
        </mc:AlternateContent>
      </w:r>
      <w:r w:rsidR="002D2357" w:rsidRPr="004E6F9F">
        <w:rPr>
          <w:rFonts w:ascii="Arial" w:hAnsi="Arial" w:cs="Arial"/>
          <w:noProof/>
          <w:lang w:eastAsia="pt-BR"/>
        </w:rPr>
        <mc:AlternateContent>
          <mc:Choice Requires="wps">
            <w:drawing>
              <wp:anchor distT="45720" distB="45720" distL="114300" distR="114300" simplePos="0" relativeHeight="251659264" behindDoc="0" locked="0" layoutInCell="1" allowOverlap="1" wp14:anchorId="5222D32B" wp14:editId="70224C38">
                <wp:simplePos x="0" y="0"/>
                <wp:positionH relativeFrom="column">
                  <wp:posOffset>3403349</wp:posOffset>
                </wp:positionH>
                <wp:positionV relativeFrom="paragraph">
                  <wp:posOffset>1609725</wp:posOffset>
                </wp:positionV>
                <wp:extent cx="236093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1467C80" w14:textId="77777777" w:rsidR="002D2357" w:rsidRPr="00737D41" w:rsidRDefault="002D2357" w:rsidP="00F51C8F">
                            <w:pPr>
                              <w:rPr>
                                <w:sz w:val="24"/>
                              </w:rPr>
                            </w:pPr>
                            <w:r w:rsidRPr="00737D41">
                              <w:rPr>
                                <w:sz w:val="24"/>
                              </w:rPr>
                              <w:t xml:space="preserve">VPA = </w:t>
                            </w:r>
                            <w:r>
                              <w:rPr>
                                <w:sz w:val="24"/>
                              </w:rPr>
                              <w:t>+</w:t>
                            </w:r>
                            <w:r w:rsidRPr="00737D41">
                              <w:rPr>
                                <w:sz w:val="24"/>
                              </w:rPr>
                              <w:t>1,28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22D32B" id="Caixa de Texto 2" o:spid="_x0000_s1031" type="#_x0000_t202" style="position:absolute;margin-left:268pt;margin-top:126.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" filled="f" stroked="f">
                <v:textbox style="mso-fit-shape-to-text:t">
                  <w:txbxContent>
                    <w:p w14:paraId="41467C80" w14:textId="77777777" w:rsidR="002D2357" w:rsidRPr="00737D41" w:rsidRDefault="002D2357" w:rsidP="00F51C8F">
                      <w:pPr>
                        <w:rPr>
                          <w:sz w:val="24"/>
                        </w:rPr>
                      </w:pPr>
                      <w:r w:rsidRPr="00737D41">
                        <w:rPr>
                          <w:sz w:val="24"/>
                        </w:rPr>
                        <w:t xml:space="preserve">VPA = </w:t>
                      </w:r>
                      <w:r>
                        <w:rPr>
                          <w:sz w:val="24"/>
                        </w:rPr>
                        <w:t>+</w:t>
                      </w:r>
                      <w:r w:rsidRPr="00737D41">
                        <w:rPr>
                          <w:sz w:val="24"/>
                        </w:rPr>
                        <w:t>1,28</w:t>
                      </w:r>
                    </w:p>
                  </w:txbxContent>
                </v:textbox>
              </v:shape>
            </w:pict>
          </mc:Fallback>
        </mc:AlternateContent>
      </w:r>
      <w:r w:rsidR="002D2357" w:rsidRPr="004E6F9F">
        <w:rPr>
          <w:rFonts w:ascii="Arial" w:hAnsi="Arial" w:cs="Arial"/>
          <w:noProof/>
          <w:lang w:eastAsia="pt-BR"/>
        </w:rPr>
        <w:drawing>
          <wp:inline distT="0" distB="0" distL="0" distR="0" wp14:anchorId="03204ED7" wp14:editId="3FBAD3D1">
            <wp:extent cx="4552950" cy="303847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10D385" w14:textId="77777777" w:rsidR="002D2357" w:rsidRPr="004E6F9F" w:rsidRDefault="002D2357" w:rsidP="00A32F71">
      <w:pPr>
        <w:spacing w:after="0" w:line="240" w:lineRule="auto"/>
        <w:rPr>
          <w:rFonts w:ascii="Arial" w:hAnsi="Arial" w:cs="Arial"/>
        </w:rPr>
      </w:pPr>
      <w:r w:rsidRPr="004E6F9F">
        <w:rPr>
          <w:rFonts w:ascii="Arial" w:hAnsi="Arial" w:cs="Arial"/>
        </w:rPr>
        <w:t>*Ajustada por idade pelo método direto, população padrão da OMS</w:t>
      </w:r>
    </w:p>
    <w:p w14:paraId="078F4C05" w14:textId="77777777" w:rsidR="002D2357" w:rsidRPr="004E6F9F" w:rsidRDefault="002D2357" w:rsidP="00A32F71">
      <w:pPr>
        <w:spacing w:after="0" w:line="240" w:lineRule="auto"/>
        <w:rPr>
          <w:rFonts w:ascii="Arial" w:hAnsi="Arial" w:cs="Arial"/>
        </w:rPr>
      </w:pPr>
    </w:p>
    <w:p w14:paraId="1F63FFDC" w14:textId="77777777" w:rsidR="002D2357" w:rsidRPr="004E6F9F" w:rsidRDefault="002D2357" w:rsidP="00F51C8F">
      <w:pPr>
        <w:spacing w:before="120" w:after="120" w:line="240" w:lineRule="auto"/>
        <w:jc w:val="both"/>
        <w:rPr>
          <w:rStyle w:val="hps"/>
          <w:rFonts w:ascii="Arial" w:hAnsi="Arial" w:cs="Arial"/>
          <w:b/>
        </w:rPr>
      </w:pPr>
    </w:p>
    <w:p w14:paraId="5A5B5C8F" w14:textId="77777777" w:rsidR="002D2357" w:rsidRPr="004E6F9F" w:rsidRDefault="002D2357" w:rsidP="004E6F9F">
      <w:pPr>
        <w:spacing w:before="120" w:after="120" w:line="240" w:lineRule="auto"/>
        <w:ind w:firstLine="1134"/>
        <w:jc w:val="both"/>
        <w:rPr>
          <w:rStyle w:val="hps"/>
          <w:rFonts w:ascii="Arial" w:hAnsi="Arial" w:cs="Arial"/>
        </w:rPr>
      </w:pPr>
      <w:r w:rsidRPr="004E6F9F">
        <w:rPr>
          <w:rStyle w:val="hps"/>
          <w:rFonts w:ascii="Arial" w:hAnsi="Arial" w:cs="Arial"/>
        </w:rPr>
        <w:t>Os gráficos a seguir representam as análises de tendência das taxas de homicídio (Figura 4). As microrregiões Blumenau, Tubarão, Araranguá e Ituporanga-Tijucas-Tabuleiro apresentaram tendência de aumento em todo período. A velocidade de aumento foi maior em Ituporanga-Tijucas-Tabuleiro, com VPA = +5,4, seguido por Tubarão (Tabela 1). Chapecó apresentou tendência de aumento até 2016, e uma queda brusca até 2019. Criciúma apresentou tendência de aumento até 2015 (VPA = +7,4), posteriormente permaneceu estável.</w:t>
      </w:r>
    </w:p>
    <w:p w14:paraId="71736EFA" w14:textId="77777777" w:rsidR="002D2357" w:rsidRPr="004E6F9F" w:rsidRDefault="002D2357" w:rsidP="006A0FA8">
      <w:pPr>
        <w:spacing w:before="120" w:after="120" w:line="240" w:lineRule="auto"/>
        <w:jc w:val="both"/>
        <w:rPr>
          <w:rStyle w:val="hps"/>
          <w:rFonts w:ascii="Arial" w:hAnsi="Arial" w:cs="Arial"/>
        </w:rPr>
      </w:pPr>
      <w:r w:rsidRPr="004E6F9F">
        <w:rPr>
          <w:rStyle w:val="hps"/>
          <w:rFonts w:ascii="Arial" w:hAnsi="Arial" w:cs="Arial"/>
        </w:rPr>
        <w:t>Figura 4 – Tendência das taxas de homicídio nas microrregiões: Blumenau, Chapecó, Tubarão, Ituporanga-Tijucas-Tabuleiro, Araranguá, Criciúma</w:t>
      </w:r>
    </w:p>
    <w:p w14:paraId="7475502C" w14:textId="77777777" w:rsidR="002D2357" w:rsidRPr="004E6F9F" w:rsidRDefault="002D2357" w:rsidP="006A0FA8">
      <w:pPr>
        <w:spacing w:before="120" w:after="120" w:line="240" w:lineRule="auto"/>
        <w:jc w:val="both"/>
        <w:rPr>
          <w:rStyle w:val="hps"/>
          <w:rFonts w:ascii="Arial" w:hAnsi="Arial" w:cs="Arial"/>
        </w:rPr>
      </w:pPr>
    </w:p>
    <w:p w14:paraId="5391A2CA" w14:textId="77777777" w:rsidR="002D2357" w:rsidRPr="004E6F9F" w:rsidRDefault="002D2357" w:rsidP="00E72E59">
      <w:pPr>
        <w:spacing w:before="120" w:after="120" w:line="240" w:lineRule="auto"/>
        <w:jc w:val="center"/>
        <w:rPr>
          <w:rStyle w:val="hps"/>
          <w:rFonts w:ascii="Arial" w:hAnsi="Arial" w:cs="Arial"/>
          <w:b/>
        </w:rPr>
      </w:pPr>
      <w:r w:rsidRPr="004E6F9F">
        <w:rPr>
          <w:rStyle w:val="hps"/>
          <w:rFonts w:ascii="Arial" w:hAnsi="Arial" w:cs="Arial"/>
          <w:b/>
          <w:noProof/>
          <w:lang w:eastAsia="pt-BR"/>
        </w:rPr>
        <w:lastRenderedPageBreak/>
        <w:drawing>
          <wp:inline distT="0" distB="0" distL="0" distR="0" wp14:anchorId="266C15BE" wp14:editId="611EF684">
            <wp:extent cx="4653590" cy="5762625"/>
            <wp:effectExtent l="0" t="0" r="0" b="0"/>
            <wp:docPr id="38" name="Imagem 38" descr="D:\Users\danie\Documentos\0 Artigos 16\2021 Homicidio SC\graficos\TTT_Págin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danie\Documentos\0 Artigos 16\2021 Homicidio SC\graficos\TTT_Página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1066" cy="5784266"/>
                    </a:xfrm>
                    <a:prstGeom prst="rect">
                      <a:avLst/>
                    </a:prstGeom>
                    <a:noFill/>
                    <a:ln>
                      <a:noFill/>
                    </a:ln>
                  </pic:spPr>
                </pic:pic>
              </a:graphicData>
            </a:graphic>
          </wp:inline>
        </w:drawing>
      </w:r>
    </w:p>
    <w:p w14:paraId="151F1480" w14:textId="5BBE526C" w:rsidR="002D2357" w:rsidRDefault="002D2357" w:rsidP="004E6F9F">
      <w:pPr>
        <w:spacing w:before="120" w:after="120" w:line="240" w:lineRule="auto"/>
        <w:ind w:firstLine="1134"/>
        <w:jc w:val="both"/>
        <w:rPr>
          <w:rStyle w:val="hps"/>
          <w:rFonts w:ascii="Arial" w:hAnsi="Arial" w:cs="Arial"/>
        </w:rPr>
      </w:pPr>
      <w:r w:rsidRPr="004E6F9F">
        <w:rPr>
          <w:rStyle w:val="hps"/>
          <w:rFonts w:ascii="Arial" w:hAnsi="Arial" w:cs="Arial"/>
        </w:rPr>
        <w:t>Os gráficos a seguir apresentam as tendências das taxas de homicídio para seis microrregiões (Figura 5). Canoinhas e Curitibanos apresentaram tendência de diminuição em todo período, com VPA de -1,5 e -2,3 (Tabela 1), respectivamente. Joinville apresentou tendência de diminuição no final do período, a partir de 2016. Itajaí apresentou tendência de aumento com um pico em 2010, seguido por tendência de queda com menor intensidade. Florianópolis apresentou aumento abrupto com pico em 2003, seguido por diminuição até 2015 e diminuição acentuada no final do período.</w:t>
      </w:r>
    </w:p>
    <w:p w14:paraId="3EFFED2C" w14:textId="77777777" w:rsidR="00DF53C5" w:rsidRDefault="00DF53C5" w:rsidP="006A0FA8">
      <w:pPr>
        <w:spacing w:after="0" w:line="240" w:lineRule="auto"/>
        <w:rPr>
          <w:rStyle w:val="hps"/>
          <w:rFonts w:ascii="Arial" w:hAnsi="Arial" w:cs="Arial"/>
        </w:rPr>
      </w:pPr>
    </w:p>
    <w:p w14:paraId="6462224D" w14:textId="3E1B790E" w:rsidR="002D2357" w:rsidRPr="004E6F9F" w:rsidRDefault="002D2357" w:rsidP="006A0FA8">
      <w:pPr>
        <w:spacing w:after="0" w:line="240" w:lineRule="auto"/>
        <w:rPr>
          <w:rStyle w:val="hps"/>
          <w:rFonts w:ascii="Arial" w:hAnsi="Arial" w:cs="Arial"/>
        </w:rPr>
      </w:pPr>
      <w:r w:rsidRPr="004E6F9F">
        <w:rPr>
          <w:rStyle w:val="hps"/>
          <w:rFonts w:ascii="Arial" w:hAnsi="Arial" w:cs="Arial"/>
        </w:rPr>
        <w:lastRenderedPageBreak/>
        <w:t>Figura 5 – Tendência das taxas de homicídio nas microrregiões: Joaçaba, Canoinhas, Curitibanos, Joinville, Itajaí, Florianópolis</w:t>
      </w:r>
    </w:p>
    <w:p w14:paraId="23CADFD5" w14:textId="77777777" w:rsidR="002D2357" w:rsidRPr="004E6F9F" w:rsidRDefault="002D2357" w:rsidP="00E72E59">
      <w:pPr>
        <w:spacing w:before="120" w:after="120" w:line="240" w:lineRule="auto"/>
        <w:jc w:val="center"/>
        <w:rPr>
          <w:rStyle w:val="hps"/>
          <w:rFonts w:ascii="Arial" w:hAnsi="Arial" w:cs="Arial"/>
          <w:b/>
        </w:rPr>
      </w:pPr>
      <w:r w:rsidRPr="004E6F9F">
        <w:rPr>
          <w:rStyle w:val="hps"/>
          <w:rFonts w:ascii="Arial" w:hAnsi="Arial" w:cs="Arial"/>
          <w:b/>
          <w:noProof/>
          <w:lang w:eastAsia="pt-BR"/>
        </w:rPr>
        <w:drawing>
          <wp:inline distT="0" distB="0" distL="0" distR="0" wp14:anchorId="3B38AC50" wp14:editId="071B51BD">
            <wp:extent cx="5545850" cy="6867525"/>
            <wp:effectExtent l="0" t="0" r="0" b="0"/>
            <wp:docPr id="39" name="Imagem 39" descr="D:\Users\danie\Documentos\0 Artigos 16\2021 Homicidio SC\graficos\TTT_Págin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danie\Documentos\0 Artigos 16\2021 Homicidio SC\graficos\TTT_Página_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8678" cy="6871027"/>
                    </a:xfrm>
                    <a:prstGeom prst="rect">
                      <a:avLst/>
                    </a:prstGeom>
                    <a:noFill/>
                    <a:ln>
                      <a:noFill/>
                    </a:ln>
                  </pic:spPr>
                </pic:pic>
              </a:graphicData>
            </a:graphic>
          </wp:inline>
        </w:drawing>
      </w:r>
    </w:p>
    <w:p w14:paraId="38F9AB85" w14:textId="1DCF3535" w:rsidR="00485B68" w:rsidRDefault="002D2357" w:rsidP="004E6F9F">
      <w:pPr>
        <w:spacing w:before="120" w:after="120" w:line="240" w:lineRule="auto"/>
        <w:ind w:firstLine="1134"/>
        <w:jc w:val="both"/>
        <w:rPr>
          <w:rStyle w:val="hps"/>
          <w:rFonts w:ascii="Arial" w:hAnsi="Arial" w:cs="Arial"/>
        </w:rPr>
      </w:pPr>
      <w:r w:rsidRPr="004E6F9F">
        <w:rPr>
          <w:rStyle w:val="hps"/>
          <w:rFonts w:ascii="Arial" w:hAnsi="Arial" w:cs="Arial"/>
        </w:rPr>
        <w:lastRenderedPageBreak/>
        <w:t xml:space="preserve">A seguir, as microrregiões que não apresentaram tendência, ou seja, mantiveram-se estáveis (Figura 6). Todas apresentaram apenas um segmento de reta. Nota-se que a dispersão dos pontos foi maior, Rio do Sul apresentou o maior VPA (+1,2), mas não foi </w:t>
      </w:r>
      <w:r>
        <w:rPr>
          <w:rStyle w:val="hps"/>
          <w:rFonts w:ascii="Arial" w:hAnsi="Arial" w:cs="Arial"/>
        </w:rPr>
        <w:t xml:space="preserve">estatisticamente </w:t>
      </w:r>
      <w:r w:rsidRPr="004E6F9F">
        <w:rPr>
          <w:rStyle w:val="hps"/>
          <w:rFonts w:ascii="Arial" w:hAnsi="Arial" w:cs="Arial"/>
        </w:rPr>
        <w:t>significativo (Tabela 1).</w:t>
      </w:r>
    </w:p>
    <w:p w14:paraId="2992D980" w14:textId="77777777" w:rsidR="00DF53C5" w:rsidRDefault="00DF53C5" w:rsidP="006A0FA8">
      <w:pPr>
        <w:spacing w:before="120" w:after="120" w:line="240" w:lineRule="auto"/>
        <w:jc w:val="both"/>
        <w:rPr>
          <w:rStyle w:val="hps"/>
          <w:rFonts w:ascii="Arial" w:hAnsi="Arial" w:cs="Arial"/>
        </w:rPr>
      </w:pPr>
    </w:p>
    <w:p w14:paraId="5D35EF8C" w14:textId="0D0F934E" w:rsidR="002D2357" w:rsidRPr="004E6F9F" w:rsidRDefault="002D2357" w:rsidP="006A0FA8">
      <w:pPr>
        <w:spacing w:before="120" w:after="120" w:line="240" w:lineRule="auto"/>
        <w:jc w:val="both"/>
        <w:rPr>
          <w:rStyle w:val="hps"/>
          <w:rFonts w:ascii="Arial" w:hAnsi="Arial" w:cs="Arial"/>
        </w:rPr>
      </w:pPr>
      <w:r w:rsidRPr="004E6F9F">
        <w:rPr>
          <w:rStyle w:val="hps"/>
          <w:rFonts w:ascii="Arial" w:hAnsi="Arial" w:cs="Arial"/>
        </w:rPr>
        <w:t>Figura 6 – Tendência das taxas de homicídio nas microrregiões: São Miguel Oeste, Xanxerê, Campos de Lages, São Bento do Sul, Rio do Sul, Concórdia</w:t>
      </w:r>
    </w:p>
    <w:p w14:paraId="7933ACB7" w14:textId="4F637B0A" w:rsidR="002D2357" w:rsidRDefault="002D2357" w:rsidP="00F51C8F">
      <w:pPr>
        <w:spacing w:before="120" w:after="120" w:line="240" w:lineRule="auto"/>
        <w:jc w:val="both"/>
        <w:rPr>
          <w:rFonts w:ascii="Arial" w:hAnsi="Arial" w:cs="Arial"/>
        </w:rPr>
      </w:pPr>
      <w:r w:rsidRPr="004E6F9F">
        <w:rPr>
          <w:rFonts w:ascii="Arial" w:hAnsi="Arial" w:cs="Arial"/>
          <w:noProof/>
          <w:lang w:eastAsia="pt-BR"/>
        </w:rPr>
        <w:drawing>
          <wp:inline distT="0" distB="0" distL="0" distR="0" wp14:anchorId="4CFCEEEB" wp14:editId="18DB028E">
            <wp:extent cx="4830504" cy="5981700"/>
            <wp:effectExtent l="0" t="0" r="8255" b="0"/>
            <wp:docPr id="40" name="Imagem 40" descr="D:\Users\danie\Documentos\0 Artigos 16\2021 Homicidio SC\graficos\TTT_Págin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danie\Documentos\0 Artigos 16\2021 Homicidio SC\graficos\TTT_Página_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9022" cy="5992248"/>
                    </a:xfrm>
                    <a:prstGeom prst="rect">
                      <a:avLst/>
                    </a:prstGeom>
                    <a:noFill/>
                    <a:ln>
                      <a:noFill/>
                    </a:ln>
                  </pic:spPr>
                </pic:pic>
              </a:graphicData>
            </a:graphic>
          </wp:inline>
        </w:drawing>
      </w:r>
      <w:r w:rsidRPr="004E6F9F">
        <w:rPr>
          <w:rFonts w:ascii="Arial" w:hAnsi="Arial" w:cs="Arial"/>
        </w:rPr>
        <w:t xml:space="preserve"> </w:t>
      </w:r>
    </w:p>
    <w:p w14:paraId="4E75E709" w14:textId="77777777" w:rsidR="002D2357" w:rsidRPr="004E6F9F" w:rsidRDefault="002D2357" w:rsidP="005B16DD">
      <w:pPr>
        <w:spacing w:before="120" w:after="120" w:line="240" w:lineRule="auto"/>
        <w:jc w:val="both"/>
        <w:rPr>
          <w:rFonts w:ascii="Arial" w:hAnsi="Arial" w:cs="Arial"/>
        </w:rPr>
      </w:pPr>
      <w:r w:rsidRPr="004E6F9F">
        <w:rPr>
          <w:rFonts w:ascii="Arial" w:hAnsi="Arial" w:cs="Arial"/>
        </w:rPr>
        <w:lastRenderedPageBreak/>
        <w:t>Tabela 1 – Tendência das taxas de homicídio em Santa Catarina, por microrregião</w:t>
      </w:r>
    </w:p>
    <w:tbl>
      <w:tblPr>
        <w:tblW w:w="5827" w:type="dxa"/>
        <w:tblCellMar>
          <w:left w:w="70" w:type="dxa"/>
          <w:right w:w="70" w:type="dxa"/>
        </w:tblCellMar>
        <w:tblLook w:val="04A0" w:firstRow="1" w:lastRow="0" w:firstColumn="1" w:lastColumn="0" w:noHBand="0" w:noVBand="1"/>
      </w:tblPr>
      <w:tblGrid>
        <w:gridCol w:w="1985"/>
        <w:gridCol w:w="1417"/>
        <w:gridCol w:w="783"/>
        <w:gridCol w:w="1642"/>
      </w:tblGrid>
      <w:tr w:rsidR="002D2357" w:rsidRPr="004E6F9F" w14:paraId="2DEDB0D8" w14:textId="77777777" w:rsidTr="00DF53C5">
        <w:trPr>
          <w:trHeight w:val="300"/>
        </w:trPr>
        <w:tc>
          <w:tcPr>
            <w:tcW w:w="1985" w:type="dxa"/>
            <w:tcBorders>
              <w:top w:val="single" w:sz="4" w:space="0" w:color="auto"/>
              <w:left w:val="nil"/>
              <w:bottom w:val="single" w:sz="4" w:space="0" w:color="auto"/>
              <w:right w:val="nil"/>
            </w:tcBorders>
            <w:shd w:val="clear" w:color="auto" w:fill="auto"/>
            <w:noWrap/>
            <w:vAlign w:val="bottom"/>
            <w:hideMark/>
          </w:tcPr>
          <w:p w14:paraId="08B8378E"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Área</w:t>
            </w:r>
          </w:p>
        </w:tc>
        <w:tc>
          <w:tcPr>
            <w:tcW w:w="1417" w:type="dxa"/>
            <w:tcBorders>
              <w:top w:val="single" w:sz="4" w:space="0" w:color="auto"/>
              <w:left w:val="nil"/>
              <w:bottom w:val="single" w:sz="4" w:space="0" w:color="auto"/>
              <w:right w:val="nil"/>
            </w:tcBorders>
            <w:shd w:val="clear" w:color="auto" w:fill="auto"/>
            <w:noWrap/>
            <w:vAlign w:val="center"/>
            <w:hideMark/>
          </w:tcPr>
          <w:p w14:paraId="1E380473"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Período</w:t>
            </w:r>
          </w:p>
        </w:tc>
        <w:tc>
          <w:tcPr>
            <w:tcW w:w="783" w:type="dxa"/>
            <w:tcBorders>
              <w:top w:val="single" w:sz="4" w:space="0" w:color="auto"/>
              <w:left w:val="nil"/>
              <w:bottom w:val="single" w:sz="4" w:space="0" w:color="auto"/>
              <w:right w:val="nil"/>
            </w:tcBorders>
            <w:shd w:val="clear" w:color="auto" w:fill="auto"/>
            <w:noWrap/>
            <w:vAlign w:val="center"/>
            <w:hideMark/>
          </w:tcPr>
          <w:p w14:paraId="660F7CA7" w14:textId="77777777" w:rsidR="002D2357" w:rsidRPr="00DF53C5" w:rsidRDefault="002D2357" w:rsidP="00A75234">
            <w:pPr>
              <w:spacing w:after="0" w:line="240" w:lineRule="auto"/>
              <w:jc w:val="center"/>
              <w:rPr>
                <w:rFonts w:ascii="Arial" w:eastAsia="Times New Roman" w:hAnsi="Arial" w:cs="Arial"/>
                <w:b/>
                <w:bCs/>
                <w:color w:val="000000"/>
                <w:sz w:val="16"/>
                <w:szCs w:val="16"/>
                <w:vertAlign w:val="superscript"/>
                <w:lang w:eastAsia="pt-BR"/>
              </w:rPr>
            </w:pPr>
            <w:r w:rsidRPr="00DF53C5">
              <w:rPr>
                <w:rFonts w:ascii="Arial" w:eastAsia="Times New Roman" w:hAnsi="Arial" w:cs="Arial"/>
                <w:b/>
                <w:bCs/>
                <w:color w:val="000000"/>
                <w:sz w:val="16"/>
                <w:szCs w:val="16"/>
                <w:lang w:eastAsia="pt-BR"/>
              </w:rPr>
              <w:t>VPA</w:t>
            </w:r>
            <w:r w:rsidRPr="00DF53C5">
              <w:rPr>
                <w:rFonts w:ascii="Arial" w:eastAsia="Times New Roman" w:hAnsi="Arial" w:cs="Arial"/>
                <w:b/>
                <w:bCs/>
                <w:color w:val="000000"/>
                <w:sz w:val="16"/>
                <w:szCs w:val="16"/>
                <w:vertAlign w:val="superscript"/>
                <w:lang w:eastAsia="pt-BR"/>
              </w:rPr>
              <w:t>+</w:t>
            </w:r>
          </w:p>
        </w:tc>
        <w:tc>
          <w:tcPr>
            <w:tcW w:w="1642" w:type="dxa"/>
            <w:tcBorders>
              <w:top w:val="single" w:sz="4" w:space="0" w:color="auto"/>
              <w:left w:val="nil"/>
              <w:bottom w:val="single" w:sz="4" w:space="0" w:color="auto"/>
              <w:right w:val="nil"/>
            </w:tcBorders>
            <w:shd w:val="clear" w:color="auto" w:fill="auto"/>
            <w:noWrap/>
            <w:vAlign w:val="center"/>
            <w:hideMark/>
          </w:tcPr>
          <w:p w14:paraId="7B2DFA71"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IC 95%</w:t>
            </w:r>
          </w:p>
        </w:tc>
      </w:tr>
      <w:tr w:rsidR="002D2357" w:rsidRPr="004E6F9F" w14:paraId="68165DAB" w14:textId="77777777" w:rsidTr="00DF53C5">
        <w:trPr>
          <w:trHeight w:val="300"/>
        </w:trPr>
        <w:tc>
          <w:tcPr>
            <w:tcW w:w="1985" w:type="dxa"/>
            <w:vMerge w:val="restart"/>
            <w:tcBorders>
              <w:top w:val="nil"/>
              <w:left w:val="nil"/>
              <w:bottom w:val="nil"/>
              <w:right w:val="nil"/>
            </w:tcBorders>
            <w:shd w:val="clear" w:color="auto" w:fill="auto"/>
            <w:noWrap/>
            <w:vAlign w:val="center"/>
            <w:hideMark/>
          </w:tcPr>
          <w:p w14:paraId="12A6289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Santa Catarina</w:t>
            </w:r>
          </w:p>
        </w:tc>
        <w:tc>
          <w:tcPr>
            <w:tcW w:w="1417" w:type="dxa"/>
            <w:tcBorders>
              <w:top w:val="nil"/>
              <w:left w:val="nil"/>
              <w:bottom w:val="nil"/>
              <w:right w:val="nil"/>
            </w:tcBorders>
            <w:shd w:val="clear" w:color="auto" w:fill="auto"/>
            <w:noWrap/>
            <w:vAlign w:val="bottom"/>
            <w:hideMark/>
          </w:tcPr>
          <w:p w14:paraId="0B70AFD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1996 - 2000</w:t>
            </w:r>
          </w:p>
        </w:tc>
        <w:tc>
          <w:tcPr>
            <w:tcW w:w="783" w:type="dxa"/>
            <w:tcBorders>
              <w:top w:val="nil"/>
              <w:left w:val="nil"/>
              <w:bottom w:val="nil"/>
              <w:right w:val="nil"/>
            </w:tcBorders>
            <w:shd w:val="clear" w:color="auto" w:fill="auto"/>
            <w:noWrap/>
            <w:vAlign w:val="bottom"/>
            <w:hideMark/>
          </w:tcPr>
          <w:p w14:paraId="7D172D7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-2,4</w:t>
            </w:r>
          </w:p>
        </w:tc>
        <w:tc>
          <w:tcPr>
            <w:tcW w:w="1642" w:type="dxa"/>
            <w:tcBorders>
              <w:top w:val="nil"/>
              <w:left w:val="nil"/>
              <w:bottom w:val="nil"/>
              <w:right w:val="nil"/>
            </w:tcBorders>
            <w:shd w:val="clear" w:color="auto" w:fill="auto"/>
            <w:noWrap/>
            <w:vAlign w:val="bottom"/>
            <w:hideMark/>
          </w:tcPr>
          <w:p w14:paraId="7D37FDF3"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(-8,2 a 3,7)</w:t>
            </w:r>
          </w:p>
        </w:tc>
      </w:tr>
      <w:tr w:rsidR="002D2357" w:rsidRPr="004E6F9F" w14:paraId="14E3F486" w14:textId="77777777" w:rsidTr="00DF53C5">
        <w:trPr>
          <w:trHeight w:val="300"/>
        </w:trPr>
        <w:tc>
          <w:tcPr>
            <w:tcW w:w="1985" w:type="dxa"/>
            <w:vMerge/>
            <w:tcBorders>
              <w:top w:val="nil"/>
              <w:left w:val="nil"/>
              <w:bottom w:val="nil"/>
              <w:right w:val="nil"/>
            </w:tcBorders>
            <w:vAlign w:val="center"/>
            <w:hideMark/>
          </w:tcPr>
          <w:p w14:paraId="3D1455D8"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502E0873"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2000 - 2003</w:t>
            </w:r>
          </w:p>
        </w:tc>
        <w:tc>
          <w:tcPr>
            <w:tcW w:w="783" w:type="dxa"/>
            <w:tcBorders>
              <w:top w:val="nil"/>
              <w:left w:val="nil"/>
              <w:bottom w:val="nil"/>
              <w:right w:val="nil"/>
            </w:tcBorders>
            <w:shd w:val="clear" w:color="auto" w:fill="auto"/>
            <w:noWrap/>
            <w:vAlign w:val="bottom"/>
            <w:hideMark/>
          </w:tcPr>
          <w:p w14:paraId="1106FA79"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+11,7</w:t>
            </w:r>
          </w:p>
        </w:tc>
        <w:tc>
          <w:tcPr>
            <w:tcW w:w="1642" w:type="dxa"/>
            <w:tcBorders>
              <w:top w:val="nil"/>
              <w:left w:val="nil"/>
              <w:bottom w:val="nil"/>
              <w:right w:val="nil"/>
            </w:tcBorders>
            <w:shd w:val="clear" w:color="auto" w:fill="auto"/>
            <w:noWrap/>
            <w:vAlign w:val="bottom"/>
            <w:hideMark/>
          </w:tcPr>
          <w:p w14:paraId="53C3AD80"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(-7,9 a 35,6)</w:t>
            </w:r>
          </w:p>
        </w:tc>
      </w:tr>
      <w:tr w:rsidR="002D2357" w:rsidRPr="004E6F9F" w14:paraId="34345E99" w14:textId="77777777" w:rsidTr="00DF53C5">
        <w:trPr>
          <w:trHeight w:val="300"/>
        </w:trPr>
        <w:tc>
          <w:tcPr>
            <w:tcW w:w="1985" w:type="dxa"/>
            <w:vMerge/>
            <w:tcBorders>
              <w:top w:val="nil"/>
              <w:left w:val="nil"/>
              <w:bottom w:val="nil"/>
              <w:right w:val="nil"/>
            </w:tcBorders>
            <w:vAlign w:val="center"/>
            <w:hideMark/>
          </w:tcPr>
          <w:p w14:paraId="0828772C"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13709932"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2003 - 2017</w:t>
            </w:r>
          </w:p>
        </w:tc>
        <w:tc>
          <w:tcPr>
            <w:tcW w:w="783" w:type="dxa"/>
            <w:tcBorders>
              <w:top w:val="nil"/>
              <w:left w:val="nil"/>
              <w:bottom w:val="nil"/>
              <w:right w:val="nil"/>
            </w:tcBorders>
            <w:shd w:val="clear" w:color="auto" w:fill="auto"/>
            <w:noWrap/>
            <w:vAlign w:val="bottom"/>
            <w:hideMark/>
          </w:tcPr>
          <w:p w14:paraId="61B1CE35"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+1,3*</w:t>
            </w:r>
          </w:p>
        </w:tc>
        <w:tc>
          <w:tcPr>
            <w:tcW w:w="1642" w:type="dxa"/>
            <w:tcBorders>
              <w:top w:val="nil"/>
              <w:left w:val="nil"/>
              <w:bottom w:val="nil"/>
              <w:right w:val="nil"/>
            </w:tcBorders>
            <w:shd w:val="clear" w:color="auto" w:fill="auto"/>
            <w:noWrap/>
            <w:vAlign w:val="bottom"/>
            <w:hideMark/>
          </w:tcPr>
          <w:p w14:paraId="7D40A62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(0,3 a 2,3)</w:t>
            </w:r>
          </w:p>
        </w:tc>
      </w:tr>
      <w:tr w:rsidR="002D2357" w:rsidRPr="004E6F9F" w14:paraId="7A42FCD4" w14:textId="77777777" w:rsidTr="00DF53C5">
        <w:trPr>
          <w:trHeight w:val="300"/>
        </w:trPr>
        <w:tc>
          <w:tcPr>
            <w:tcW w:w="1985" w:type="dxa"/>
            <w:vMerge/>
            <w:tcBorders>
              <w:top w:val="nil"/>
              <w:left w:val="nil"/>
              <w:bottom w:val="nil"/>
              <w:right w:val="nil"/>
            </w:tcBorders>
            <w:vAlign w:val="center"/>
            <w:hideMark/>
          </w:tcPr>
          <w:p w14:paraId="581DE16E"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single" w:sz="4" w:space="0" w:color="auto"/>
              <w:right w:val="nil"/>
            </w:tcBorders>
            <w:shd w:val="clear" w:color="auto" w:fill="auto"/>
            <w:noWrap/>
            <w:vAlign w:val="bottom"/>
            <w:hideMark/>
          </w:tcPr>
          <w:p w14:paraId="0D5E2E9A"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2017 - 2019</w:t>
            </w:r>
          </w:p>
        </w:tc>
        <w:tc>
          <w:tcPr>
            <w:tcW w:w="783" w:type="dxa"/>
            <w:tcBorders>
              <w:top w:val="nil"/>
              <w:left w:val="nil"/>
              <w:bottom w:val="single" w:sz="4" w:space="0" w:color="auto"/>
              <w:right w:val="nil"/>
            </w:tcBorders>
            <w:shd w:val="clear" w:color="auto" w:fill="auto"/>
            <w:noWrap/>
            <w:vAlign w:val="bottom"/>
            <w:hideMark/>
          </w:tcPr>
          <w:p w14:paraId="712E8429"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-13,6</w:t>
            </w:r>
          </w:p>
        </w:tc>
        <w:tc>
          <w:tcPr>
            <w:tcW w:w="1642" w:type="dxa"/>
            <w:tcBorders>
              <w:top w:val="nil"/>
              <w:left w:val="nil"/>
              <w:bottom w:val="single" w:sz="4" w:space="0" w:color="auto"/>
              <w:right w:val="nil"/>
            </w:tcBorders>
            <w:shd w:val="clear" w:color="auto" w:fill="auto"/>
            <w:noWrap/>
            <w:vAlign w:val="bottom"/>
            <w:hideMark/>
          </w:tcPr>
          <w:p w14:paraId="20911E4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(-28,8 a 4,9)</w:t>
            </w:r>
          </w:p>
        </w:tc>
      </w:tr>
      <w:tr w:rsidR="002D2357" w:rsidRPr="004E6F9F" w14:paraId="55D6A0A4" w14:textId="77777777" w:rsidTr="00DF53C5">
        <w:trPr>
          <w:trHeight w:val="300"/>
        </w:trPr>
        <w:tc>
          <w:tcPr>
            <w:tcW w:w="1985" w:type="dxa"/>
            <w:tcBorders>
              <w:top w:val="nil"/>
              <w:left w:val="nil"/>
              <w:bottom w:val="nil"/>
              <w:right w:val="nil"/>
            </w:tcBorders>
            <w:shd w:val="clear" w:color="auto" w:fill="auto"/>
            <w:noWrap/>
            <w:vAlign w:val="center"/>
            <w:hideMark/>
          </w:tcPr>
          <w:p w14:paraId="76EA40F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São Miguel Oeste</w:t>
            </w:r>
          </w:p>
        </w:tc>
        <w:tc>
          <w:tcPr>
            <w:tcW w:w="1417" w:type="dxa"/>
            <w:tcBorders>
              <w:top w:val="nil"/>
              <w:left w:val="nil"/>
              <w:bottom w:val="nil"/>
              <w:right w:val="nil"/>
            </w:tcBorders>
            <w:shd w:val="clear" w:color="auto" w:fill="auto"/>
            <w:noWrap/>
            <w:vAlign w:val="bottom"/>
            <w:hideMark/>
          </w:tcPr>
          <w:p w14:paraId="13CADF3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nil"/>
              <w:left w:val="nil"/>
              <w:bottom w:val="nil"/>
              <w:right w:val="nil"/>
            </w:tcBorders>
            <w:shd w:val="clear" w:color="auto" w:fill="auto"/>
            <w:noWrap/>
            <w:vAlign w:val="bottom"/>
            <w:hideMark/>
          </w:tcPr>
          <w:p w14:paraId="68E2A762"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+0,1</w:t>
            </w:r>
          </w:p>
        </w:tc>
        <w:tc>
          <w:tcPr>
            <w:tcW w:w="1642" w:type="dxa"/>
            <w:tcBorders>
              <w:top w:val="nil"/>
              <w:left w:val="nil"/>
              <w:bottom w:val="nil"/>
              <w:right w:val="nil"/>
            </w:tcBorders>
            <w:shd w:val="clear" w:color="auto" w:fill="auto"/>
            <w:noWrap/>
            <w:vAlign w:val="bottom"/>
            <w:hideMark/>
          </w:tcPr>
          <w:p w14:paraId="5A3C495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(-1,8 a 2)</w:t>
            </w:r>
          </w:p>
        </w:tc>
      </w:tr>
      <w:tr w:rsidR="002D2357" w:rsidRPr="004E6F9F" w14:paraId="54A26260" w14:textId="77777777" w:rsidTr="00DF53C5">
        <w:trPr>
          <w:trHeight w:val="300"/>
        </w:trPr>
        <w:tc>
          <w:tcPr>
            <w:tcW w:w="1985" w:type="dxa"/>
            <w:vMerge w:val="restart"/>
            <w:tcBorders>
              <w:top w:val="nil"/>
              <w:left w:val="nil"/>
              <w:bottom w:val="nil"/>
              <w:right w:val="nil"/>
            </w:tcBorders>
            <w:shd w:val="clear" w:color="auto" w:fill="auto"/>
            <w:noWrap/>
            <w:vAlign w:val="center"/>
            <w:hideMark/>
          </w:tcPr>
          <w:p w14:paraId="25DD8E1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Chapecó</w:t>
            </w:r>
          </w:p>
        </w:tc>
        <w:tc>
          <w:tcPr>
            <w:tcW w:w="1417" w:type="dxa"/>
            <w:tcBorders>
              <w:top w:val="single" w:sz="4" w:space="0" w:color="auto"/>
              <w:left w:val="nil"/>
              <w:bottom w:val="nil"/>
              <w:right w:val="nil"/>
            </w:tcBorders>
            <w:shd w:val="clear" w:color="auto" w:fill="auto"/>
            <w:noWrap/>
            <w:vAlign w:val="bottom"/>
            <w:hideMark/>
          </w:tcPr>
          <w:p w14:paraId="3FA0F261"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1996 - 2016</w:t>
            </w:r>
          </w:p>
        </w:tc>
        <w:tc>
          <w:tcPr>
            <w:tcW w:w="783" w:type="dxa"/>
            <w:tcBorders>
              <w:top w:val="single" w:sz="4" w:space="0" w:color="auto"/>
              <w:left w:val="nil"/>
              <w:bottom w:val="nil"/>
              <w:right w:val="nil"/>
            </w:tcBorders>
            <w:shd w:val="clear" w:color="auto" w:fill="auto"/>
            <w:noWrap/>
            <w:vAlign w:val="bottom"/>
            <w:hideMark/>
          </w:tcPr>
          <w:p w14:paraId="1C7F4DE7"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+2,2*</w:t>
            </w:r>
          </w:p>
        </w:tc>
        <w:tc>
          <w:tcPr>
            <w:tcW w:w="1642" w:type="dxa"/>
            <w:tcBorders>
              <w:top w:val="single" w:sz="4" w:space="0" w:color="auto"/>
              <w:left w:val="nil"/>
              <w:bottom w:val="nil"/>
              <w:right w:val="nil"/>
            </w:tcBorders>
            <w:shd w:val="clear" w:color="auto" w:fill="auto"/>
            <w:noWrap/>
            <w:vAlign w:val="bottom"/>
            <w:hideMark/>
          </w:tcPr>
          <w:p w14:paraId="5ADC6883"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(1,2 a 3,2)</w:t>
            </w:r>
          </w:p>
        </w:tc>
      </w:tr>
      <w:tr w:rsidR="002D2357" w:rsidRPr="004E6F9F" w14:paraId="4D66CDDA" w14:textId="77777777" w:rsidTr="00DF53C5">
        <w:trPr>
          <w:trHeight w:val="300"/>
        </w:trPr>
        <w:tc>
          <w:tcPr>
            <w:tcW w:w="1985" w:type="dxa"/>
            <w:vMerge/>
            <w:tcBorders>
              <w:top w:val="nil"/>
              <w:left w:val="nil"/>
              <w:bottom w:val="nil"/>
              <w:right w:val="nil"/>
            </w:tcBorders>
            <w:vAlign w:val="center"/>
            <w:hideMark/>
          </w:tcPr>
          <w:p w14:paraId="74A4CF38"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single" w:sz="4" w:space="0" w:color="auto"/>
              <w:right w:val="nil"/>
            </w:tcBorders>
            <w:shd w:val="clear" w:color="auto" w:fill="auto"/>
            <w:noWrap/>
            <w:vAlign w:val="bottom"/>
            <w:hideMark/>
          </w:tcPr>
          <w:p w14:paraId="71AE891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2016 - 2019</w:t>
            </w:r>
          </w:p>
        </w:tc>
        <w:tc>
          <w:tcPr>
            <w:tcW w:w="783" w:type="dxa"/>
            <w:tcBorders>
              <w:top w:val="nil"/>
              <w:left w:val="nil"/>
              <w:bottom w:val="single" w:sz="4" w:space="0" w:color="auto"/>
              <w:right w:val="nil"/>
            </w:tcBorders>
            <w:shd w:val="clear" w:color="auto" w:fill="auto"/>
            <w:noWrap/>
            <w:vAlign w:val="bottom"/>
            <w:hideMark/>
          </w:tcPr>
          <w:p w14:paraId="4FCDE0A4"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-19,7*</w:t>
            </w:r>
          </w:p>
        </w:tc>
        <w:tc>
          <w:tcPr>
            <w:tcW w:w="1642" w:type="dxa"/>
            <w:tcBorders>
              <w:top w:val="nil"/>
              <w:left w:val="nil"/>
              <w:bottom w:val="single" w:sz="4" w:space="0" w:color="auto"/>
              <w:right w:val="nil"/>
            </w:tcBorders>
            <w:shd w:val="clear" w:color="auto" w:fill="auto"/>
            <w:noWrap/>
            <w:vAlign w:val="bottom"/>
            <w:hideMark/>
          </w:tcPr>
          <w:p w14:paraId="282FD0B7"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(-33 a -3,9)</w:t>
            </w:r>
          </w:p>
        </w:tc>
      </w:tr>
      <w:tr w:rsidR="002D2357" w:rsidRPr="004E6F9F" w14:paraId="138D0E7E" w14:textId="77777777" w:rsidTr="00DF53C5">
        <w:trPr>
          <w:trHeight w:val="300"/>
        </w:trPr>
        <w:tc>
          <w:tcPr>
            <w:tcW w:w="1985" w:type="dxa"/>
            <w:tcBorders>
              <w:top w:val="nil"/>
              <w:left w:val="nil"/>
              <w:bottom w:val="nil"/>
              <w:right w:val="nil"/>
            </w:tcBorders>
            <w:shd w:val="clear" w:color="auto" w:fill="auto"/>
            <w:noWrap/>
            <w:vAlign w:val="center"/>
            <w:hideMark/>
          </w:tcPr>
          <w:p w14:paraId="7BF40812"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Xanxerê</w:t>
            </w:r>
          </w:p>
        </w:tc>
        <w:tc>
          <w:tcPr>
            <w:tcW w:w="1417" w:type="dxa"/>
            <w:tcBorders>
              <w:top w:val="nil"/>
              <w:left w:val="nil"/>
              <w:bottom w:val="nil"/>
              <w:right w:val="nil"/>
            </w:tcBorders>
            <w:shd w:val="clear" w:color="auto" w:fill="auto"/>
            <w:noWrap/>
            <w:vAlign w:val="bottom"/>
            <w:hideMark/>
          </w:tcPr>
          <w:p w14:paraId="5BE69F9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nil"/>
              <w:left w:val="nil"/>
              <w:bottom w:val="nil"/>
              <w:right w:val="nil"/>
            </w:tcBorders>
            <w:shd w:val="clear" w:color="auto" w:fill="auto"/>
            <w:noWrap/>
            <w:vAlign w:val="bottom"/>
            <w:hideMark/>
          </w:tcPr>
          <w:p w14:paraId="3986144A"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+0,2</w:t>
            </w:r>
          </w:p>
        </w:tc>
        <w:tc>
          <w:tcPr>
            <w:tcW w:w="1642" w:type="dxa"/>
            <w:tcBorders>
              <w:top w:val="nil"/>
              <w:left w:val="nil"/>
              <w:bottom w:val="nil"/>
              <w:right w:val="nil"/>
            </w:tcBorders>
            <w:shd w:val="clear" w:color="auto" w:fill="auto"/>
            <w:noWrap/>
            <w:vAlign w:val="bottom"/>
            <w:hideMark/>
          </w:tcPr>
          <w:p w14:paraId="67C534F2"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(-1,4 a 1,8)</w:t>
            </w:r>
          </w:p>
        </w:tc>
      </w:tr>
      <w:tr w:rsidR="002D2357" w:rsidRPr="004E6F9F" w14:paraId="4A46BEC6" w14:textId="77777777" w:rsidTr="00DF53C5">
        <w:trPr>
          <w:trHeight w:val="300"/>
        </w:trPr>
        <w:tc>
          <w:tcPr>
            <w:tcW w:w="1985" w:type="dxa"/>
            <w:vMerge w:val="restart"/>
            <w:tcBorders>
              <w:top w:val="nil"/>
              <w:left w:val="nil"/>
              <w:bottom w:val="nil"/>
              <w:right w:val="nil"/>
            </w:tcBorders>
            <w:shd w:val="clear" w:color="auto" w:fill="auto"/>
            <w:noWrap/>
            <w:vAlign w:val="center"/>
            <w:hideMark/>
          </w:tcPr>
          <w:p w14:paraId="2571C4CD"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Joaçaba</w:t>
            </w:r>
          </w:p>
        </w:tc>
        <w:tc>
          <w:tcPr>
            <w:tcW w:w="1417" w:type="dxa"/>
            <w:tcBorders>
              <w:top w:val="single" w:sz="4" w:space="0" w:color="auto"/>
              <w:left w:val="nil"/>
              <w:bottom w:val="nil"/>
              <w:right w:val="nil"/>
            </w:tcBorders>
            <w:shd w:val="clear" w:color="auto" w:fill="auto"/>
            <w:noWrap/>
            <w:vAlign w:val="bottom"/>
            <w:hideMark/>
          </w:tcPr>
          <w:p w14:paraId="1897BBD3"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1996 - 2008</w:t>
            </w:r>
          </w:p>
        </w:tc>
        <w:tc>
          <w:tcPr>
            <w:tcW w:w="783" w:type="dxa"/>
            <w:tcBorders>
              <w:top w:val="single" w:sz="4" w:space="0" w:color="auto"/>
              <w:left w:val="nil"/>
              <w:bottom w:val="nil"/>
              <w:right w:val="nil"/>
            </w:tcBorders>
            <w:shd w:val="clear" w:color="auto" w:fill="auto"/>
            <w:noWrap/>
            <w:vAlign w:val="bottom"/>
            <w:hideMark/>
          </w:tcPr>
          <w:p w14:paraId="100D4ED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+1,1</w:t>
            </w:r>
          </w:p>
        </w:tc>
        <w:tc>
          <w:tcPr>
            <w:tcW w:w="1642" w:type="dxa"/>
            <w:tcBorders>
              <w:top w:val="single" w:sz="4" w:space="0" w:color="auto"/>
              <w:left w:val="nil"/>
              <w:bottom w:val="nil"/>
              <w:right w:val="nil"/>
            </w:tcBorders>
            <w:shd w:val="clear" w:color="auto" w:fill="auto"/>
            <w:noWrap/>
            <w:vAlign w:val="bottom"/>
            <w:hideMark/>
          </w:tcPr>
          <w:p w14:paraId="699668FE"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 a 3,2)</w:t>
            </w:r>
          </w:p>
        </w:tc>
      </w:tr>
      <w:tr w:rsidR="002D2357" w:rsidRPr="004E6F9F" w14:paraId="43D4510A" w14:textId="77777777" w:rsidTr="00DF53C5">
        <w:trPr>
          <w:trHeight w:val="300"/>
        </w:trPr>
        <w:tc>
          <w:tcPr>
            <w:tcW w:w="1985" w:type="dxa"/>
            <w:vMerge/>
            <w:tcBorders>
              <w:top w:val="nil"/>
              <w:left w:val="nil"/>
              <w:bottom w:val="nil"/>
              <w:right w:val="nil"/>
            </w:tcBorders>
            <w:vAlign w:val="center"/>
            <w:hideMark/>
          </w:tcPr>
          <w:p w14:paraId="17119E5B"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19F4B62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2008 - 2011</w:t>
            </w:r>
          </w:p>
        </w:tc>
        <w:tc>
          <w:tcPr>
            <w:tcW w:w="783" w:type="dxa"/>
            <w:tcBorders>
              <w:top w:val="nil"/>
              <w:left w:val="nil"/>
              <w:bottom w:val="nil"/>
              <w:right w:val="nil"/>
            </w:tcBorders>
            <w:shd w:val="clear" w:color="auto" w:fill="auto"/>
            <w:noWrap/>
            <w:vAlign w:val="bottom"/>
            <w:hideMark/>
          </w:tcPr>
          <w:p w14:paraId="5BFD506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-17,3</w:t>
            </w:r>
          </w:p>
        </w:tc>
        <w:tc>
          <w:tcPr>
            <w:tcW w:w="1642" w:type="dxa"/>
            <w:tcBorders>
              <w:top w:val="nil"/>
              <w:left w:val="nil"/>
              <w:bottom w:val="nil"/>
              <w:right w:val="nil"/>
            </w:tcBorders>
            <w:shd w:val="clear" w:color="auto" w:fill="auto"/>
            <w:noWrap/>
            <w:vAlign w:val="bottom"/>
            <w:hideMark/>
          </w:tcPr>
          <w:p w14:paraId="200390B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(-41,9 a 17,8)</w:t>
            </w:r>
          </w:p>
        </w:tc>
      </w:tr>
      <w:tr w:rsidR="002D2357" w:rsidRPr="004E6F9F" w14:paraId="4BD1A1C5" w14:textId="77777777" w:rsidTr="00DF53C5">
        <w:trPr>
          <w:trHeight w:val="300"/>
        </w:trPr>
        <w:tc>
          <w:tcPr>
            <w:tcW w:w="1985" w:type="dxa"/>
            <w:vMerge/>
            <w:tcBorders>
              <w:top w:val="nil"/>
              <w:left w:val="nil"/>
              <w:bottom w:val="nil"/>
              <w:right w:val="nil"/>
            </w:tcBorders>
            <w:vAlign w:val="center"/>
            <w:hideMark/>
          </w:tcPr>
          <w:p w14:paraId="4335D72E"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single" w:sz="4" w:space="0" w:color="auto"/>
              <w:right w:val="nil"/>
            </w:tcBorders>
            <w:shd w:val="clear" w:color="auto" w:fill="auto"/>
            <w:noWrap/>
            <w:vAlign w:val="bottom"/>
            <w:hideMark/>
          </w:tcPr>
          <w:p w14:paraId="038CE4C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2011 - 2019</w:t>
            </w:r>
          </w:p>
        </w:tc>
        <w:tc>
          <w:tcPr>
            <w:tcW w:w="783" w:type="dxa"/>
            <w:tcBorders>
              <w:top w:val="nil"/>
              <w:left w:val="nil"/>
              <w:bottom w:val="single" w:sz="4" w:space="0" w:color="auto"/>
              <w:right w:val="nil"/>
            </w:tcBorders>
            <w:shd w:val="clear" w:color="auto" w:fill="auto"/>
            <w:noWrap/>
            <w:vAlign w:val="bottom"/>
            <w:hideMark/>
          </w:tcPr>
          <w:p w14:paraId="4F31F47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+2,1</w:t>
            </w:r>
          </w:p>
        </w:tc>
        <w:tc>
          <w:tcPr>
            <w:tcW w:w="1642" w:type="dxa"/>
            <w:tcBorders>
              <w:top w:val="nil"/>
              <w:left w:val="nil"/>
              <w:bottom w:val="single" w:sz="4" w:space="0" w:color="auto"/>
              <w:right w:val="nil"/>
            </w:tcBorders>
            <w:shd w:val="clear" w:color="auto" w:fill="auto"/>
            <w:noWrap/>
            <w:vAlign w:val="bottom"/>
            <w:hideMark/>
          </w:tcPr>
          <w:p w14:paraId="4A7D812E"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(-1,8 a 6,1)</w:t>
            </w:r>
          </w:p>
        </w:tc>
      </w:tr>
      <w:tr w:rsidR="002D2357" w:rsidRPr="004E6F9F" w14:paraId="7CA233EC" w14:textId="77777777" w:rsidTr="00DF53C5">
        <w:trPr>
          <w:trHeight w:val="300"/>
        </w:trPr>
        <w:tc>
          <w:tcPr>
            <w:tcW w:w="1985" w:type="dxa"/>
            <w:tcBorders>
              <w:top w:val="nil"/>
              <w:left w:val="nil"/>
              <w:bottom w:val="nil"/>
              <w:right w:val="nil"/>
            </w:tcBorders>
            <w:shd w:val="clear" w:color="auto" w:fill="auto"/>
            <w:noWrap/>
            <w:vAlign w:val="center"/>
            <w:hideMark/>
          </w:tcPr>
          <w:p w14:paraId="4437D729"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Concórdia</w:t>
            </w:r>
          </w:p>
        </w:tc>
        <w:tc>
          <w:tcPr>
            <w:tcW w:w="1417" w:type="dxa"/>
            <w:tcBorders>
              <w:top w:val="nil"/>
              <w:left w:val="nil"/>
              <w:bottom w:val="nil"/>
              <w:right w:val="nil"/>
            </w:tcBorders>
            <w:shd w:val="clear" w:color="auto" w:fill="auto"/>
            <w:noWrap/>
            <w:vAlign w:val="bottom"/>
            <w:hideMark/>
          </w:tcPr>
          <w:p w14:paraId="2D461C82"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nil"/>
              <w:left w:val="nil"/>
              <w:bottom w:val="nil"/>
              <w:right w:val="nil"/>
            </w:tcBorders>
            <w:shd w:val="clear" w:color="auto" w:fill="auto"/>
            <w:noWrap/>
            <w:vAlign w:val="bottom"/>
            <w:hideMark/>
          </w:tcPr>
          <w:p w14:paraId="75C06E2E"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+0,8</w:t>
            </w:r>
          </w:p>
        </w:tc>
        <w:tc>
          <w:tcPr>
            <w:tcW w:w="1642" w:type="dxa"/>
            <w:tcBorders>
              <w:top w:val="nil"/>
              <w:left w:val="nil"/>
              <w:bottom w:val="nil"/>
              <w:right w:val="nil"/>
            </w:tcBorders>
            <w:shd w:val="clear" w:color="auto" w:fill="auto"/>
            <w:noWrap/>
            <w:vAlign w:val="bottom"/>
            <w:hideMark/>
          </w:tcPr>
          <w:p w14:paraId="724FDB6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(-1,7 a 3,4)</w:t>
            </w:r>
          </w:p>
        </w:tc>
      </w:tr>
      <w:tr w:rsidR="002D2357" w:rsidRPr="004E6F9F" w14:paraId="51A0E19A" w14:textId="77777777" w:rsidTr="00DF53C5">
        <w:trPr>
          <w:trHeight w:val="300"/>
        </w:trPr>
        <w:tc>
          <w:tcPr>
            <w:tcW w:w="1985" w:type="dxa"/>
            <w:tcBorders>
              <w:top w:val="nil"/>
              <w:left w:val="nil"/>
              <w:bottom w:val="nil"/>
              <w:right w:val="nil"/>
            </w:tcBorders>
            <w:shd w:val="clear" w:color="auto" w:fill="auto"/>
            <w:noWrap/>
            <w:vAlign w:val="center"/>
            <w:hideMark/>
          </w:tcPr>
          <w:p w14:paraId="75AED5A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Canoinhas</w:t>
            </w:r>
          </w:p>
        </w:tc>
        <w:tc>
          <w:tcPr>
            <w:tcW w:w="1417" w:type="dxa"/>
            <w:tcBorders>
              <w:top w:val="single" w:sz="4" w:space="0" w:color="auto"/>
              <w:left w:val="nil"/>
              <w:bottom w:val="single" w:sz="4" w:space="0" w:color="auto"/>
              <w:right w:val="nil"/>
            </w:tcBorders>
            <w:shd w:val="clear" w:color="auto" w:fill="auto"/>
            <w:noWrap/>
            <w:vAlign w:val="bottom"/>
            <w:hideMark/>
          </w:tcPr>
          <w:p w14:paraId="4F473751"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single" w:sz="4" w:space="0" w:color="auto"/>
              <w:left w:val="nil"/>
              <w:bottom w:val="single" w:sz="4" w:space="0" w:color="auto"/>
              <w:right w:val="nil"/>
            </w:tcBorders>
            <w:shd w:val="clear" w:color="auto" w:fill="auto"/>
            <w:noWrap/>
            <w:vAlign w:val="bottom"/>
            <w:hideMark/>
          </w:tcPr>
          <w:p w14:paraId="7A21FB8F"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-1,5*</w:t>
            </w:r>
          </w:p>
        </w:tc>
        <w:tc>
          <w:tcPr>
            <w:tcW w:w="1642" w:type="dxa"/>
            <w:tcBorders>
              <w:top w:val="single" w:sz="4" w:space="0" w:color="auto"/>
              <w:left w:val="nil"/>
              <w:bottom w:val="single" w:sz="4" w:space="0" w:color="auto"/>
              <w:right w:val="nil"/>
            </w:tcBorders>
            <w:shd w:val="clear" w:color="auto" w:fill="auto"/>
            <w:noWrap/>
            <w:vAlign w:val="bottom"/>
            <w:hideMark/>
          </w:tcPr>
          <w:p w14:paraId="04BC94B0"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(-2,3 a -0,6)</w:t>
            </w:r>
          </w:p>
        </w:tc>
      </w:tr>
      <w:tr w:rsidR="002D2357" w:rsidRPr="004E6F9F" w14:paraId="57D4C56A" w14:textId="77777777" w:rsidTr="00DF53C5">
        <w:trPr>
          <w:trHeight w:val="300"/>
        </w:trPr>
        <w:tc>
          <w:tcPr>
            <w:tcW w:w="1985" w:type="dxa"/>
            <w:tcBorders>
              <w:top w:val="nil"/>
              <w:left w:val="nil"/>
              <w:bottom w:val="nil"/>
              <w:right w:val="nil"/>
            </w:tcBorders>
            <w:shd w:val="clear" w:color="auto" w:fill="auto"/>
            <w:noWrap/>
            <w:vAlign w:val="center"/>
            <w:hideMark/>
          </w:tcPr>
          <w:p w14:paraId="23FBBD9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São Bento do Sul</w:t>
            </w:r>
          </w:p>
        </w:tc>
        <w:tc>
          <w:tcPr>
            <w:tcW w:w="1417" w:type="dxa"/>
            <w:tcBorders>
              <w:top w:val="nil"/>
              <w:left w:val="nil"/>
              <w:bottom w:val="nil"/>
              <w:right w:val="nil"/>
            </w:tcBorders>
            <w:shd w:val="clear" w:color="auto" w:fill="auto"/>
            <w:noWrap/>
            <w:vAlign w:val="bottom"/>
            <w:hideMark/>
          </w:tcPr>
          <w:p w14:paraId="0BA5323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nil"/>
              <w:left w:val="nil"/>
              <w:bottom w:val="nil"/>
              <w:right w:val="nil"/>
            </w:tcBorders>
            <w:shd w:val="clear" w:color="auto" w:fill="auto"/>
            <w:noWrap/>
            <w:vAlign w:val="bottom"/>
            <w:hideMark/>
          </w:tcPr>
          <w:p w14:paraId="5B84DC3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-0,7</w:t>
            </w:r>
          </w:p>
        </w:tc>
        <w:tc>
          <w:tcPr>
            <w:tcW w:w="1642" w:type="dxa"/>
            <w:tcBorders>
              <w:top w:val="nil"/>
              <w:left w:val="nil"/>
              <w:bottom w:val="nil"/>
              <w:right w:val="nil"/>
            </w:tcBorders>
            <w:shd w:val="clear" w:color="auto" w:fill="auto"/>
            <w:noWrap/>
            <w:vAlign w:val="bottom"/>
            <w:hideMark/>
          </w:tcPr>
          <w:p w14:paraId="13023C6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(-2,8 a 1,4)</w:t>
            </w:r>
          </w:p>
        </w:tc>
      </w:tr>
      <w:tr w:rsidR="002D2357" w:rsidRPr="004E6F9F" w14:paraId="044C8C27" w14:textId="77777777" w:rsidTr="00DF53C5">
        <w:trPr>
          <w:trHeight w:val="300"/>
        </w:trPr>
        <w:tc>
          <w:tcPr>
            <w:tcW w:w="1985" w:type="dxa"/>
            <w:vMerge w:val="restart"/>
            <w:tcBorders>
              <w:top w:val="nil"/>
              <w:left w:val="nil"/>
              <w:bottom w:val="nil"/>
              <w:right w:val="nil"/>
            </w:tcBorders>
            <w:shd w:val="clear" w:color="auto" w:fill="auto"/>
            <w:noWrap/>
            <w:vAlign w:val="center"/>
            <w:hideMark/>
          </w:tcPr>
          <w:p w14:paraId="18A6469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Joinville</w:t>
            </w:r>
          </w:p>
        </w:tc>
        <w:tc>
          <w:tcPr>
            <w:tcW w:w="1417" w:type="dxa"/>
            <w:tcBorders>
              <w:top w:val="single" w:sz="4" w:space="0" w:color="auto"/>
              <w:left w:val="nil"/>
              <w:bottom w:val="nil"/>
              <w:right w:val="nil"/>
            </w:tcBorders>
            <w:shd w:val="clear" w:color="auto" w:fill="auto"/>
            <w:noWrap/>
            <w:vAlign w:val="bottom"/>
            <w:hideMark/>
          </w:tcPr>
          <w:p w14:paraId="3DEF6CA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1996 - 2006</w:t>
            </w:r>
          </w:p>
        </w:tc>
        <w:tc>
          <w:tcPr>
            <w:tcW w:w="783" w:type="dxa"/>
            <w:tcBorders>
              <w:top w:val="single" w:sz="4" w:space="0" w:color="auto"/>
              <w:left w:val="nil"/>
              <w:bottom w:val="nil"/>
              <w:right w:val="nil"/>
            </w:tcBorders>
            <w:shd w:val="clear" w:color="auto" w:fill="auto"/>
            <w:noWrap/>
            <w:vAlign w:val="bottom"/>
            <w:hideMark/>
          </w:tcPr>
          <w:p w14:paraId="2527C29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1,0</w:t>
            </w:r>
          </w:p>
        </w:tc>
        <w:tc>
          <w:tcPr>
            <w:tcW w:w="1642" w:type="dxa"/>
            <w:tcBorders>
              <w:top w:val="single" w:sz="4" w:space="0" w:color="auto"/>
              <w:left w:val="nil"/>
              <w:bottom w:val="nil"/>
              <w:right w:val="nil"/>
            </w:tcBorders>
            <w:shd w:val="clear" w:color="auto" w:fill="auto"/>
            <w:noWrap/>
            <w:vAlign w:val="bottom"/>
            <w:hideMark/>
          </w:tcPr>
          <w:p w14:paraId="0161141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(-0,6 a 2,6)</w:t>
            </w:r>
          </w:p>
        </w:tc>
      </w:tr>
      <w:tr w:rsidR="002D2357" w:rsidRPr="004E6F9F" w14:paraId="597DC718" w14:textId="77777777" w:rsidTr="00DF53C5">
        <w:trPr>
          <w:trHeight w:val="300"/>
        </w:trPr>
        <w:tc>
          <w:tcPr>
            <w:tcW w:w="1985" w:type="dxa"/>
            <w:vMerge/>
            <w:tcBorders>
              <w:top w:val="nil"/>
              <w:left w:val="nil"/>
              <w:bottom w:val="nil"/>
              <w:right w:val="nil"/>
            </w:tcBorders>
            <w:vAlign w:val="center"/>
            <w:hideMark/>
          </w:tcPr>
          <w:p w14:paraId="07A966D3"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08DA6389"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2006 - 2009</w:t>
            </w:r>
          </w:p>
        </w:tc>
        <w:tc>
          <w:tcPr>
            <w:tcW w:w="783" w:type="dxa"/>
            <w:tcBorders>
              <w:top w:val="nil"/>
              <w:left w:val="nil"/>
              <w:bottom w:val="nil"/>
              <w:right w:val="nil"/>
            </w:tcBorders>
            <w:shd w:val="clear" w:color="auto" w:fill="auto"/>
            <w:noWrap/>
            <w:vAlign w:val="bottom"/>
            <w:hideMark/>
          </w:tcPr>
          <w:p w14:paraId="3D293FCA"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13,0</w:t>
            </w:r>
          </w:p>
        </w:tc>
        <w:tc>
          <w:tcPr>
            <w:tcW w:w="1642" w:type="dxa"/>
            <w:tcBorders>
              <w:top w:val="nil"/>
              <w:left w:val="nil"/>
              <w:bottom w:val="nil"/>
              <w:right w:val="nil"/>
            </w:tcBorders>
            <w:shd w:val="clear" w:color="auto" w:fill="auto"/>
            <w:noWrap/>
            <w:vAlign w:val="bottom"/>
            <w:hideMark/>
          </w:tcPr>
          <w:p w14:paraId="7280FD2E"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(-7,6 a 38,1)</w:t>
            </w:r>
          </w:p>
        </w:tc>
      </w:tr>
      <w:tr w:rsidR="002D2357" w:rsidRPr="004E6F9F" w14:paraId="3CC08606" w14:textId="77777777" w:rsidTr="00DF53C5">
        <w:trPr>
          <w:trHeight w:val="300"/>
        </w:trPr>
        <w:tc>
          <w:tcPr>
            <w:tcW w:w="1985" w:type="dxa"/>
            <w:vMerge/>
            <w:tcBorders>
              <w:top w:val="nil"/>
              <w:left w:val="nil"/>
              <w:bottom w:val="nil"/>
              <w:right w:val="nil"/>
            </w:tcBorders>
            <w:vAlign w:val="center"/>
            <w:hideMark/>
          </w:tcPr>
          <w:p w14:paraId="494BC773"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7B2F578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2009 - 2013</w:t>
            </w:r>
          </w:p>
        </w:tc>
        <w:tc>
          <w:tcPr>
            <w:tcW w:w="783" w:type="dxa"/>
            <w:tcBorders>
              <w:top w:val="nil"/>
              <w:left w:val="nil"/>
              <w:bottom w:val="nil"/>
              <w:right w:val="nil"/>
            </w:tcBorders>
            <w:shd w:val="clear" w:color="auto" w:fill="auto"/>
            <w:noWrap/>
            <w:vAlign w:val="bottom"/>
            <w:hideMark/>
          </w:tcPr>
          <w:p w14:paraId="623E8EB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-3,5</w:t>
            </w:r>
          </w:p>
        </w:tc>
        <w:tc>
          <w:tcPr>
            <w:tcW w:w="1642" w:type="dxa"/>
            <w:tcBorders>
              <w:top w:val="nil"/>
              <w:left w:val="nil"/>
              <w:bottom w:val="nil"/>
              <w:right w:val="nil"/>
            </w:tcBorders>
            <w:shd w:val="clear" w:color="auto" w:fill="auto"/>
            <w:noWrap/>
            <w:vAlign w:val="bottom"/>
            <w:hideMark/>
          </w:tcPr>
          <w:p w14:paraId="14F6023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(-12,7 a 6,7)</w:t>
            </w:r>
          </w:p>
        </w:tc>
      </w:tr>
      <w:tr w:rsidR="002D2357" w:rsidRPr="004E6F9F" w14:paraId="1075FA69" w14:textId="77777777" w:rsidTr="00DF53C5">
        <w:trPr>
          <w:trHeight w:val="300"/>
        </w:trPr>
        <w:tc>
          <w:tcPr>
            <w:tcW w:w="1985" w:type="dxa"/>
            <w:vMerge/>
            <w:tcBorders>
              <w:top w:val="nil"/>
              <w:left w:val="nil"/>
              <w:bottom w:val="nil"/>
              <w:right w:val="nil"/>
            </w:tcBorders>
            <w:vAlign w:val="center"/>
            <w:hideMark/>
          </w:tcPr>
          <w:p w14:paraId="40E25FEF"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47871FCD"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2013 - 2016</w:t>
            </w:r>
          </w:p>
        </w:tc>
        <w:tc>
          <w:tcPr>
            <w:tcW w:w="783" w:type="dxa"/>
            <w:tcBorders>
              <w:top w:val="nil"/>
              <w:left w:val="nil"/>
              <w:bottom w:val="nil"/>
              <w:right w:val="nil"/>
            </w:tcBorders>
            <w:shd w:val="clear" w:color="auto" w:fill="auto"/>
            <w:noWrap/>
            <w:vAlign w:val="bottom"/>
            <w:hideMark/>
          </w:tcPr>
          <w:p w14:paraId="25DBDC5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+20,2</w:t>
            </w:r>
          </w:p>
        </w:tc>
        <w:tc>
          <w:tcPr>
            <w:tcW w:w="1642" w:type="dxa"/>
            <w:tcBorders>
              <w:top w:val="nil"/>
              <w:left w:val="nil"/>
              <w:bottom w:val="nil"/>
              <w:right w:val="nil"/>
            </w:tcBorders>
            <w:shd w:val="clear" w:color="auto" w:fill="auto"/>
            <w:noWrap/>
            <w:vAlign w:val="bottom"/>
            <w:hideMark/>
          </w:tcPr>
          <w:p w14:paraId="7EA16393"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(-1,7 a 47)</w:t>
            </w:r>
          </w:p>
        </w:tc>
      </w:tr>
      <w:tr w:rsidR="002D2357" w:rsidRPr="004E6F9F" w14:paraId="5A2EB31C" w14:textId="77777777" w:rsidTr="00DF53C5">
        <w:trPr>
          <w:trHeight w:val="300"/>
        </w:trPr>
        <w:tc>
          <w:tcPr>
            <w:tcW w:w="1985" w:type="dxa"/>
            <w:vMerge/>
            <w:tcBorders>
              <w:top w:val="nil"/>
              <w:left w:val="nil"/>
              <w:bottom w:val="nil"/>
              <w:right w:val="nil"/>
            </w:tcBorders>
            <w:vAlign w:val="center"/>
            <w:hideMark/>
          </w:tcPr>
          <w:p w14:paraId="1914594D"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single" w:sz="4" w:space="0" w:color="auto"/>
              <w:right w:val="nil"/>
            </w:tcBorders>
            <w:shd w:val="clear" w:color="auto" w:fill="auto"/>
            <w:noWrap/>
            <w:vAlign w:val="bottom"/>
            <w:hideMark/>
          </w:tcPr>
          <w:p w14:paraId="3CB29991"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2016 - 2019</w:t>
            </w:r>
          </w:p>
        </w:tc>
        <w:tc>
          <w:tcPr>
            <w:tcW w:w="783" w:type="dxa"/>
            <w:tcBorders>
              <w:top w:val="nil"/>
              <w:left w:val="nil"/>
              <w:bottom w:val="single" w:sz="4" w:space="0" w:color="auto"/>
              <w:right w:val="nil"/>
            </w:tcBorders>
            <w:shd w:val="clear" w:color="auto" w:fill="auto"/>
            <w:noWrap/>
            <w:vAlign w:val="bottom"/>
            <w:hideMark/>
          </w:tcPr>
          <w:p w14:paraId="2ABA2B2A"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-14,3*</w:t>
            </w:r>
          </w:p>
        </w:tc>
        <w:tc>
          <w:tcPr>
            <w:tcW w:w="1642" w:type="dxa"/>
            <w:tcBorders>
              <w:top w:val="nil"/>
              <w:left w:val="nil"/>
              <w:bottom w:val="single" w:sz="4" w:space="0" w:color="auto"/>
              <w:right w:val="nil"/>
            </w:tcBorders>
            <w:shd w:val="clear" w:color="auto" w:fill="auto"/>
            <w:noWrap/>
            <w:vAlign w:val="bottom"/>
            <w:hideMark/>
          </w:tcPr>
          <w:p w14:paraId="4316BBC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(-22,5 a -5,2)</w:t>
            </w:r>
          </w:p>
        </w:tc>
      </w:tr>
      <w:tr w:rsidR="002D2357" w:rsidRPr="004E6F9F" w14:paraId="275E2D8B" w14:textId="77777777" w:rsidTr="00DF53C5">
        <w:trPr>
          <w:trHeight w:val="300"/>
        </w:trPr>
        <w:tc>
          <w:tcPr>
            <w:tcW w:w="1985" w:type="dxa"/>
            <w:tcBorders>
              <w:top w:val="nil"/>
              <w:left w:val="nil"/>
              <w:bottom w:val="nil"/>
              <w:right w:val="nil"/>
            </w:tcBorders>
            <w:shd w:val="clear" w:color="auto" w:fill="auto"/>
            <w:noWrap/>
            <w:vAlign w:val="center"/>
            <w:hideMark/>
          </w:tcPr>
          <w:p w14:paraId="4C9A0FA4"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Curitibanos</w:t>
            </w:r>
          </w:p>
        </w:tc>
        <w:tc>
          <w:tcPr>
            <w:tcW w:w="1417" w:type="dxa"/>
            <w:tcBorders>
              <w:top w:val="nil"/>
              <w:left w:val="nil"/>
              <w:bottom w:val="nil"/>
              <w:right w:val="nil"/>
            </w:tcBorders>
            <w:shd w:val="clear" w:color="auto" w:fill="auto"/>
            <w:noWrap/>
            <w:vAlign w:val="bottom"/>
            <w:hideMark/>
          </w:tcPr>
          <w:p w14:paraId="4D56D19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nil"/>
              <w:left w:val="nil"/>
              <w:bottom w:val="nil"/>
              <w:right w:val="nil"/>
            </w:tcBorders>
            <w:shd w:val="clear" w:color="auto" w:fill="auto"/>
            <w:noWrap/>
            <w:vAlign w:val="bottom"/>
            <w:hideMark/>
          </w:tcPr>
          <w:p w14:paraId="16B31427"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-2,3*</w:t>
            </w:r>
          </w:p>
        </w:tc>
        <w:tc>
          <w:tcPr>
            <w:tcW w:w="1642" w:type="dxa"/>
            <w:tcBorders>
              <w:top w:val="nil"/>
              <w:left w:val="nil"/>
              <w:bottom w:val="nil"/>
              <w:right w:val="nil"/>
            </w:tcBorders>
            <w:shd w:val="clear" w:color="auto" w:fill="auto"/>
            <w:noWrap/>
            <w:vAlign w:val="bottom"/>
            <w:hideMark/>
          </w:tcPr>
          <w:p w14:paraId="6F18D98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(-4,3 a -0,3)</w:t>
            </w:r>
          </w:p>
        </w:tc>
      </w:tr>
      <w:tr w:rsidR="002D2357" w:rsidRPr="004E6F9F" w14:paraId="0EA6025C" w14:textId="77777777" w:rsidTr="00DF53C5">
        <w:trPr>
          <w:trHeight w:val="300"/>
        </w:trPr>
        <w:tc>
          <w:tcPr>
            <w:tcW w:w="1985" w:type="dxa"/>
            <w:tcBorders>
              <w:top w:val="nil"/>
              <w:left w:val="nil"/>
              <w:bottom w:val="nil"/>
              <w:right w:val="nil"/>
            </w:tcBorders>
            <w:shd w:val="clear" w:color="auto" w:fill="auto"/>
            <w:noWrap/>
            <w:vAlign w:val="center"/>
            <w:hideMark/>
          </w:tcPr>
          <w:p w14:paraId="63060024"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Campos de Lages</w:t>
            </w:r>
          </w:p>
        </w:tc>
        <w:tc>
          <w:tcPr>
            <w:tcW w:w="1417" w:type="dxa"/>
            <w:tcBorders>
              <w:top w:val="single" w:sz="4" w:space="0" w:color="auto"/>
              <w:left w:val="nil"/>
              <w:bottom w:val="single" w:sz="4" w:space="0" w:color="auto"/>
              <w:right w:val="nil"/>
            </w:tcBorders>
            <w:shd w:val="clear" w:color="auto" w:fill="auto"/>
            <w:noWrap/>
            <w:vAlign w:val="bottom"/>
            <w:hideMark/>
          </w:tcPr>
          <w:p w14:paraId="78404C54"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single" w:sz="4" w:space="0" w:color="auto"/>
              <w:left w:val="nil"/>
              <w:bottom w:val="single" w:sz="4" w:space="0" w:color="auto"/>
              <w:right w:val="nil"/>
            </w:tcBorders>
            <w:shd w:val="clear" w:color="auto" w:fill="auto"/>
            <w:noWrap/>
            <w:vAlign w:val="bottom"/>
            <w:hideMark/>
          </w:tcPr>
          <w:p w14:paraId="55BD17E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+0,1</w:t>
            </w:r>
          </w:p>
        </w:tc>
        <w:tc>
          <w:tcPr>
            <w:tcW w:w="1642" w:type="dxa"/>
            <w:tcBorders>
              <w:top w:val="single" w:sz="4" w:space="0" w:color="auto"/>
              <w:left w:val="nil"/>
              <w:bottom w:val="single" w:sz="4" w:space="0" w:color="auto"/>
              <w:right w:val="nil"/>
            </w:tcBorders>
            <w:shd w:val="clear" w:color="auto" w:fill="auto"/>
            <w:noWrap/>
            <w:vAlign w:val="bottom"/>
            <w:hideMark/>
          </w:tcPr>
          <w:p w14:paraId="524A7CE3"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 a 1,3)</w:t>
            </w:r>
          </w:p>
        </w:tc>
      </w:tr>
      <w:tr w:rsidR="002D2357" w:rsidRPr="004E6F9F" w14:paraId="1C47EC0E" w14:textId="77777777" w:rsidTr="00DF53C5">
        <w:trPr>
          <w:trHeight w:val="300"/>
        </w:trPr>
        <w:tc>
          <w:tcPr>
            <w:tcW w:w="1985" w:type="dxa"/>
            <w:tcBorders>
              <w:top w:val="nil"/>
              <w:left w:val="nil"/>
              <w:bottom w:val="nil"/>
              <w:right w:val="nil"/>
            </w:tcBorders>
            <w:shd w:val="clear" w:color="auto" w:fill="auto"/>
            <w:noWrap/>
            <w:vAlign w:val="center"/>
            <w:hideMark/>
          </w:tcPr>
          <w:p w14:paraId="11B53A7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Rio do Sul</w:t>
            </w:r>
          </w:p>
        </w:tc>
        <w:tc>
          <w:tcPr>
            <w:tcW w:w="1417" w:type="dxa"/>
            <w:tcBorders>
              <w:top w:val="nil"/>
              <w:left w:val="nil"/>
              <w:bottom w:val="nil"/>
              <w:right w:val="nil"/>
            </w:tcBorders>
            <w:shd w:val="clear" w:color="auto" w:fill="auto"/>
            <w:noWrap/>
            <w:vAlign w:val="bottom"/>
            <w:hideMark/>
          </w:tcPr>
          <w:p w14:paraId="7091E104"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nil"/>
              <w:left w:val="nil"/>
              <w:bottom w:val="nil"/>
              <w:right w:val="nil"/>
            </w:tcBorders>
            <w:shd w:val="clear" w:color="auto" w:fill="auto"/>
            <w:noWrap/>
            <w:vAlign w:val="bottom"/>
            <w:hideMark/>
          </w:tcPr>
          <w:p w14:paraId="27725037"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+1,2</w:t>
            </w:r>
          </w:p>
        </w:tc>
        <w:tc>
          <w:tcPr>
            <w:tcW w:w="1642" w:type="dxa"/>
            <w:tcBorders>
              <w:top w:val="nil"/>
              <w:left w:val="nil"/>
              <w:bottom w:val="nil"/>
              <w:right w:val="nil"/>
            </w:tcBorders>
            <w:shd w:val="clear" w:color="auto" w:fill="auto"/>
            <w:noWrap/>
            <w:vAlign w:val="bottom"/>
            <w:hideMark/>
          </w:tcPr>
          <w:p w14:paraId="677C07E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(-0,8 a 3,2)</w:t>
            </w:r>
          </w:p>
        </w:tc>
      </w:tr>
      <w:tr w:rsidR="002D2357" w:rsidRPr="004E6F9F" w14:paraId="5EDFC9F4" w14:textId="77777777" w:rsidTr="00DF53C5">
        <w:trPr>
          <w:trHeight w:val="300"/>
        </w:trPr>
        <w:tc>
          <w:tcPr>
            <w:tcW w:w="1985" w:type="dxa"/>
            <w:tcBorders>
              <w:top w:val="nil"/>
              <w:left w:val="nil"/>
              <w:bottom w:val="nil"/>
              <w:right w:val="nil"/>
            </w:tcBorders>
            <w:shd w:val="clear" w:color="auto" w:fill="auto"/>
            <w:noWrap/>
            <w:vAlign w:val="center"/>
            <w:hideMark/>
          </w:tcPr>
          <w:p w14:paraId="0E37A55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Blumenau</w:t>
            </w:r>
          </w:p>
        </w:tc>
        <w:tc>
          <w:tcPr>
            <w:tcW w:w="1417" w:type="dxa"/>
            <w:tcBorders>
              <w:top w:val="single" w:sz="4" w:space="0" w:color="auto"/>
              <w:left w:val="nil"/>
              <w:bottom w:val="single" w:sz="4" w:space="0" w:color="auto"/>
              <w:right w:val="nil"/>
            </w:tcBorders>
            <w:shd w:val="clear" w:color="auto" w:fill="auto"/>
            <w:noWrap/>
            <w:vAlign w:val="bottom"/>
            <w:hideMark/>
          </w:tcPr>
          <w:p w14:paraId="07CE9C54"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single" w:sz="4" w:space="0" w:color="auto"/>
              <w:left w:val="nil"/>
              <w:bottom w:val="single" w:sz="4" w:space="0" w:color="auto"/>
              <w:right w:val="nil"/>
            </w:tcBorders>
            <w:shd w:val="clear" w:color="auto" w:fill="auto"/>
            <w:noWrap/>
            <w:vAlign w:val="bottom"/>
            <w:hideMark/>
          </w:tcPr>
          <w:p w14:paraId="1C4FEBF4"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+2,6*</w:t>
            </w:r>
          </w:p>
        </w:tc>
        <w:tc>
          <w:tcPr>
            <w:tcW w:w="1642" w:type="dxa"/>
            <w:tcBorders>
              <w:top w:val="single" w:sz="4" w:space="0" w:color="auto"/>
              <w:left w:val="nil"/>
              <w:bottom w:val="single" w:sz="4" w:space="0" w:color="auto"/>
              <w:right w:val="nil"/>
            </w:tcBorders>
            <w:shd w:val="clear" w:color="auto" w:fill="auto"/>
            <w:noWrap/>
            <w:vAlign w:val="bottom"/>
            <w:hideMark/>
          </w:tcPr>
          <w:p w14:paraId="411BB44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(0,8 a 4,5)</w:t>
            </w:r>
          </w:p>
        </w:tc>
      </w:tr>
      <w:tr w:rsidR="002D2357" w:rsidRPr="004E6F9F" w14:paraId="3C3447EA" w14:textId="77777777" w:rsidTr="00DF53C5">
        <w:trPr>
          <w:trHeight w:val="300"/>
        </w:trPr>
        <w:tc>
          <w:tcPr>
            <w:tcW w:w="1985" w:type="dxa"/>
            <w:vMerge w:val="restart"/>
            <w:tcBorders>
              <w:top w:val="nil"/>
              <w:left w:val="nil"/>
              <w:bottom w:val="nil"/>
              <w:right w:val="nil"/>
            </w:tcBorders>
            <w:shd w:val="clear" w:color="auto" w:fill="auto"/>
            <w:noWrap/>
            <w:vAlign w:val="center"/>
            <w:hideMark/>
          </w:tcPr>
          <w:p w14:paraId="4A537E64"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Itajaí</w:t>
            </w:r>
          </w:p>
        </w:tc>
        <w:tc>
          <w:tcPr>
            <w:tcW w:w="1417" w:type="dxa"/>
            <w:tcBorders>
              <w:top w:val="nil"/>
              <w:left w:val="nil"/>
              <w:bottom w:val="nil"/>
              <w:right w:val="nil"/>
            </w:tcBorders>
            <w:shd w:val="clear" w:color="auto" w:fill="auto"/>
            <w:noWrap/>
            <w:vAlign w:val="bottom"/>
            <w:hideMark/>
          </w:tcPr>
          <w:p w14:paraId="002499A0"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1996 - 2009</w:t>
            </w:r>
          </w:p>
        </w:tc>
        <w:tc>
          <w:tcPr>
            <w:tcW w:w="783" w:type="dxa"/>
            <w:tcBorders>
              <w:top w:val="nil"/>
              <w:left w:val="nil"/>
              <w:bottom w:val="nil"/>
              <w:right w:val="nil"/>
            </w:tcBorders>
            <w:shd w:val="clear" w:color="auto" w:fill="auto"/>
            <w:noWrap/>
            <w:vAlign w:val="bottom"/>
            <w:hideMark/>
          </w:tcPr>
          <w:p w14:paraId="172633B1"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+8,3*</w:t>
            </w:r>
          </w:p>
        </w:tc>
        <w:tc>
          <w:tcPr>
            <w:tcW w:w="1642" w:type="dxa"/>
            <w:tcBorders>
              <w:top w:val="nil"/>
              <w:left w:val="nil"/>
              <w:bottom w:val="nil"/>
              <w:right w:val="nil"/>
            </w:tcBorders>
            <w:shd w:val="clear" w:color="auto" w:fill="auto"/>
            <w:noWrap/>
            <w:vAlign w:val="bottom"/>
            <w:hideMark/>
          </w:tcPr>
          <w:p w14:paraId="2F99D95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(5,8 a 10,9)</w:t>
            </w:r>
          </w:p>
        </w:tc>
      </w:tr>
      <w:tr w:rsidR="002D2357" w:rsidRPr="004E6F9F" w14:paraId="68B29191" w14:textId="77777777" w:rsidTr="00DF53C5">
        <w:trPr>
          <w:trHeight w:val="300"/>
        </w:trPr>
        <w:tc>
          <w:tcPr>
            <w:tcW w:w="1985" w:type="dxa"/>
            <w:vMerge/>
            <w:tcBorders>
              <w:top w:val="nil"/>
              <w:left w:val="nil"/>
              <w:bottom w:val="nil"/>
              <w:right w:val="nil"/>
            </w:tcBorders>
            <w:vAlign w:val="center"/>
            <w:hideMark/>
          </w:tcPr>
          <w:p w14:paraId="3CB7AF7A"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6DD3C27E"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2009 - 2019</w:t>
            </w:r>
          </w:p>
        </w:tc>
        <w:tc>
          <w:tcPr>
            <w:tcW w:w="783" w:type="dxa"/>
            <w:tcBorders>
              <w:top w:val="nil"/>
              <w:left w:val="nil"/>
              <w:bottom w:val="nil"/>
              <w:right w:val="nil"/>
            </w:tcBorders>
            <w:shd w:val="clear" w:color="auto" w:fill="auto"/>
            <w:noWrap/>
            <w:vAlign w:val="bottom"/>
            <w:hideMark/>
          </w:tcPr>
          <w:p w14:paraId="6FD9608B"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-4,7*</w:t>
            </w:r>
          </w:p>
        </w:tc>
        <w:tc>
          <w:tcPr>
            <w:tcW w:w="1642" w:type="dxa"/>
            <w:tcBorders>
              <w:top w:val="nil"/>
              <w:left w:val="nil"/>
              <w:bottom w:val="nil"/>
              <w:right w:val="nil"/>
            </w:tcBorders>
            <w:shd w:val="clear" w:color="auto" w:fill="auto"/>
            <w:noWrap/>
            <w:vAlign w:val="bottom"/>
            <w:hideMark/>
          </w:tcPr>
          <w:p w14:paraId="0159AF9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(-8 a -1,3)</w:t>
            </w:r>
          </w:p>
        </w:tc>
      </w:tr>
      <w:tr w:rsidR="002D2357" w:rsidRPr="004E6F9F" w14:paraId="2A9AC601" w14:textId="77777777" w:rsidTr="00DF53C5">
        <w:trPr>
          <w:trHeight w:val="334"/>
        </w:trPr>
        <w:tc>
          <w:tcPr>
            <w:tcW w:w="1985" w:type="dxa"/>
            <w:tcBorders>
              <w:top w:val="nil"/>
              <w:left w:val="nil"/>
              <w:bottom w:val="nil"/>
              <w:right w:val="nil"/>
            </w:tcBorders>
            <w:shd w:val="clear" w:color="auto" w:fill="auto"/>
            <w:noWrap/>
            <w:vAlign w:val="bottom"/>
            <w:hideMark/>
          </w:tcPr>
          <w:p w14:paraId="258753BA" w14:textId="77777777" w:rsidR="002D2357" w:rsidRPr="00DF53C5" w:rsidRDefault="002D2357" w:rsidP="00A75234">
            <w:pPr>
              <w:spacing w:after="0" w:line="240" w:lineRule="auto"/>
              <w:jc w:val="center"/>
              <w:rPr>
                <w:rFonts w:ascii="Arial" w:eastAsia="Times New Roman" w:hAnsi="Arial" w:cs="Arial"/>
                <w:sz w:val="16"/>
                <w:szCs w:val="16"/>
                <w:lang w:eastAsia="pt-BR"/>
              </w:rPr>
            </w:pPr>
            <w:r w:rsidRPr="00DF53C5">
              <w:rPr>
                <w:rFonts w:ascii="Arial" w:eastAsia="Times New Roman" w:hAnsi="Arial" w:cs="Arial"/>
                <w:sz w:val="16"/>
                <w:szCs w:val="16"/>
                <w:lang w:eastAsia="pt-BR"/>
              </w:rPr>
              <w:t>Ituporanga,</w:t>
            </w:r>
          </w:p>
          <w:p w14:paraId="53A3C2A9" w14:textId="77777777" w:rsidR="002D2357" w:rsidRPr="00DF53C5" w:rsidRDefault="002D2357" w:rsidP="00A75234">
            <w:pPr>
              <w:spacing w:after="0" w:line="240" w:lineRule="auto"/>
              <w:jc w:val="center"/>
              <w:rPr>
                <w:rFonts w:ascii="Arial" w:eastAsia="Times New Roman" w:hAnsi="Arial" w:cs="Arial"/>
                <w:sz w:val="16"/>
                <w:szCs w:val="16"/>
                <w:lang w:eastAsia="pt-BR"/>
              </w:rPr>
            </w:pPr>
            <w:r w:rsidRPr="00DF53C5">
              <w:rPr>
                <w:rFonts w:ascii="Arial" w:eastAsia="Times New Roman" w:hAnsi="Arial" w:cs="Arial"/>
                <w:sz w:val="16"/>
                <w:szCs w:val="16"/>
                <w:lang w:eastAsia="pt-BR"/>
              </w:rPr>
              <w:t>Tijucas e Tabuleiro</w:t>
            </w:r>
          </w:p>
        </w:tc>
        <w:tc>
          <w:tcPr>
            <w:tcW w:w="1417" w:type="dxa"/>
            <w:tcBorders>
              <w:top w:val="single" w:sz="4" w:space="0" w:color="auto"/>
              <w:left w:val="nil"/>
              <w:bottom w:val="single" w:sz="4" w:space="0" w:color="auto"/>
              <w:right w:val="nil"/>
            </w:tcBorders>
            <w:shd w:val="clear" w:color="auto" w:fill="auto"/>
            <w:noWrap/>
            <w:vAlign w:val="center"/>
            <w:hideMark/>
          </w:tcPr>
          <w:p w14:paraId="4C6FC129"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1999 - 2019</w:t>
            </w:r>
          </w:p>
        </w:tc>
        <w:tc>
          <w:tcPr>
            <w:tcW w:w="783" w:type="dxa"/>
            <w:tcBorders>
              <w:top w:val="single" w:sz="4" w:space="0" w:color="auto"/>
              <w:left w:val="nil"/>
              <w:bottom w:val="single" w:sz="4" w:space="0" w:color="auto"/>
              <w:right w:val="nil"/>
            </w:tcBorders>
            <w:shd w:val="clear" w:color="auto" w:fill="auto"/>
            <w:noWrap/>
            <w:vAlign w:val="center"/>
            <w:hideMark/>
          </w:tcPr>
          <w:p w14:paraId="76520DB8"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+5,4*</w:t>
            </w:r>
          </w:p>
        </w:tc>
        <w:tc>
          <w:tcPr>
            <w:tcW w:w="1642" w:type="dxa"/>
            <w:tcBorders>
              <w:top w:val="single" w:sz="4" w:space="0" w:color="auto"/>
              <w:left w:val="nil"/>
              <w:bottom w:val="single" w:sz="4" w:space="0" w:color="auto"/>
              <w:right w:val="nil"/>
            </w:tcBorders>
            <w:shd w:val="clear" w:color="auto" w:fill="auto"/>
            <w:noWrap/>
            <w:vAlign w:val="center"/>
            <w:hideMark/>
          </w:tcPr>
          <w:p w14:paraId="44E54527"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(2,2 a 8,8)</w:t>
            </w:r>
          </w:p>
        </w:tc>
      </w:tr>
      <w:tr w:rsidR="002D2357" w:rsidRPr="004E6F9F" w14:paraId="532E6A1D" w14:textId="77777777" w:rsidTr="00DF53C5">
        <w:trPr>
          <w:trHeight w:val="300"/>
        </w:trPr>
        <w:tc>
          <w:tcPr>
            <w:tcW w:w="1985" w:type="dxa"/>
            <w:vMerge w:val="restart"/>
            <w:tcBorders>
              <w:top w:val="nil"/>
              <w:left w:val="nil"/>
              <w:bottom w:val="nil"/>
              <w:right w:val="nil"/>
            </w:tcBorders>
            <w:shd w:val="clear" w:color="auto" w:fill="auto"/>
            <w:noWrap/>
            <w:vAlign w:val="center"/>
            <w:hideMark/>
          </w:tcPr>
          <w:p w14:paraId="0EAAF03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Florianópolis</w:t>
            </w:r>
          </w:p>
        </w:tc>
        <w:tc>
          <w:tcPr>
            <w:tcW w:w="1417" w:type="dxa"/>
            <w:tcBorders>
              <w:top w:val="nil"/>
              <w:left w:val="nil"/>
              <w:bottom w:val="nil"/>
              <w:right w:val="nil"/>
            </w:tcBorders>
            <w:shd w:val="clear" w:color="auto" w:fill="auto"/>
            <w:noWrap/>
            <w:vAlign w:val="bottom"/>
            <w:hideMark/>
          </w:tcPr>
          <w:p w14:paraId="4ECEAF12"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1996 - 1999</w:t>
            </w:r>
          </w:p>
        </w:tc>
        <w:tc>
          <w:tcPr>
            <w:tcW w:w="783" w:type="dxa"/>
            <w:tcBorders>
              <w:top w:val="nil"/>
              <w:left w:val="nil"/>
              <w:bottom w:val="nil"/>
              <w:right w:val="nil"/>
            </w:tcBorders>
            <w:shd w:val="clear" w:color="auto" w:fill="auto"/>
            <w:noWrap/>
            <w:vAlign w:val="bottom"/>
            <w:hideMark/>
          </w:tcPr>
          <w:p w14:paraId="6A1F22B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-7,5</w:t>
            </w:r>
          </w:p>
        </w:tc>
        <w:tc>
          <w:tcPr>
            <w:tcW w:w="1642" w:type="dxa"/>
            <w:tcBorders>
              <w:top w:val="nil"/>
              <w:left w:val="nil"/>
              <w:bottom w:val="nil"/>
              <w:right w:val="nil"/>
            </w:tcBorders>
            <w:shd w:val="clear" w:color="auto" w:fill="auto"/>
            <w:noWrap/>
            <w:vAlign w:val="bottom"/>
            <w:hideMark/>
          </w:tcPr>
          <w:p w14:paraId="4784F817"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(-20,6 a 7,9)</w:t>
            </w:r>
          </w:p>
        </w:tc>
      </w:tr>
      <w:tr w:rsidR="002D2357" w:rsidRPr="004E6F9F" w14:paraId="146E14E8" w14:textId="77777777" w:rsidTr="00DF53C5">
        <w:trPr>
          <w:trHeight w:val="300"/>
        </w:trPr>
        <w:tc>
          <w:tcPr>
            <w:tcW w:w="1985" w:type="dxa"/>
            <w:vMerge/>
            <w:tcBorders>
              <w:top w:val="nil"/>
              <w:left w:val="nil"/>
              <w:bottom w:val="nil"/>
              <w:right w:val="nil"/>
            </w:tcBorders>
            <w:vAlign w:val="center"/>
            <w:hideMark/>
          </w:tcPr>
          <w:p w14:paraId="36A9B99F"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2842CF7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1999 - 2003</w:t>
            </w:r>
          </w:p>
        </w:tc>
        <w:tc>
          <w:tcPr>
            <w:tcW w:w="783" w:type="dxa"/>
            <w:tcBorders>
              <w:top w:val="nil"/>
              <w:left w:val="nil"/>
              <w:bottom w:val="nil"/>
              <w:right w:val="nil"/>
            </w:tcBorders>
            <w:shd w:val="clear" w:color="auto" w:fill="auto"/>
            <w:noWrap/>
            <w:vAlign w:val="bottom"/>
            <w:hideMark/>
          </w:tcPr>
          <w:p w14:paraId="261F0099"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+31,0*</w:t>
            </w:r>
          </w:p>
        </w:tc>
        <w:tc>
          <w:tcPr>
            <w:tcW w:w="1642" w:type="dxa"/>
            <w:tcBorders>
              <w:top w:val="nil"/>
              <w:left w:val="nil"/>
              <w:bottom w:val="nil"/>
              <w:right w:val="nil"/>
            </w:tcBorders>
            <w:shd w:val="clear" w:color="auto" w:fill="auto"/>
            <w:noWrap/>
            <w:vAlign w:val="bottom"/>
            <w:hideMark/>
          </w:tcPr>
          <w:p w14:paraId="0E66AFA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(12,3 a 52,7)</w:t>
            </w:r>
          </w:p>
        </w:tc>
      </w:tr>
      <w:tr w:rsidR="002D2357" w:rsidRPr="004E6F9F" w14:paraId="584E50D4" w14:textId="77777777" w:rsidTr="00DF53C5">
        <w:trPr>
          <w:trHeight w:val="300"/>
        </w:trPr>
        <w:tc>
          <w:tcPr>
            <w:tcW w:w="1985" w:type="dxa"/>
            <w:vMerge/>
            <w:tcBorders>
              <w:top w:val="nil"/>
              <w:left w:val="nil"/>
              <w:bottom w:val="nil"/>
              <w:right w:val="nil"/>
            </w:tcBorders>
            <w:vAlign w:val="center"/>
            <w:hideMark/>
          </w:tcPr>
          <w:p w14:paraId="5E24BD54"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4280306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2003 - 2014</w:t>
            </w:r>
          </w:p>
        </w:tc>
        <w:tc>
          <w:tcPr>
            <w:tcW w:w="783" w:type="dxa"/>
            <w:tcBorders>
              <w:top w:val="nil"/>
              <w:left w:val="nil"/>
              <w:bottom w:val="nil"/>
              <w:right w:val="nil"/>
            </w:tcBorders>
            <w:shd w:val="clear" w:color="auto" w:fill="auto"/>
            <w:noWrap/>
            <w:vAlign w:val="bottom"/>
            <w:hideMark/>
          </w:tcPr>
          <w:p w14:paraId="4ACEE1E6"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-4,2*</w:t>
            </w:r>
          </w:p>
        </w:tc>
        <w:tc>
          <w:tcPr>
            <w:tcW w:w="1642" w:type="dxa"/>
            <w:tcBorders>
              <w:top w:val="nil"/>
              <w:left w:val="nil"/>
              <w:bottom w:val="nil"/>
              <w:right w:val="nil"/>
            </w:tcBorders>
            <w:shd w:val="clear" w:color="auto" w:fill="auto"/>
            <w:noWrap/>
            <w:vAlign w:val="bottom"/>
            <w:hideMark/>
          </w:tcPr>
          <w:p w14:paraId="7DBD0AA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(-6,5 a -1,9)</w:t>
            </w:r>
          </w:p>
        </w:tc>
      </w:tr>
      <w:tr w:rsidR="002D2357" w:rsidRPr="004E6F9F" w14:paraId="7B69D841" w14:textId="77777777" w:rsidTr="00DF53C5">
        <w:trPr>
          <w:trHeight w:val="300"/>
        </w:trPr>
        <w:tc>
          <w:tcPr>
            <w:tcW w:w="1985" w:type="dxa"/>
            <w:vMerge/>
            <w:tcBorders>
              <w:top w:val="nil"/>
              <w:left w:val="nil"/>
              <w:bottom w:val="nil"/>
              <w:right w:val="nil"/>
            </w:tcBorders>
            <w:vAlign w:val="center"/>
            <w:hideMark/>
          </w:tcPr>
          <w:p w14:paraId="4F7FBCA4"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7274C16F"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2014 - 2017</w:t>
            </w:r>
          </w:p>
        </w:tc>
        <w:tc>
          <w:tcPr>
            <w:tcW w:w="783" w:type="dxa"/>
            <w:tcBorders>
              <w:top w:val="nil"/>
              <w:left w:val="nil"/>
              <w:bottom w:val="nil"/>
              <w:right w:val="nil"/>
            </w:tcBorders>
            <w:shd w:val="clear" w:color="auto" w:fill="auto"/>
            <w:noWrap/>
            <w:vAlign w:val="bottom"/>
            <w:hideMark/>
          </w:tcPr>
          <w:p w14:paraId="042DA1B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+16,1</w:t>
            </w:r>
          </w:p>
        </w:tc>
        <w:tc>
          <w:tcPr>
            <w:tcW w:w="1642" w:type="dxa"/>
            <w:tcBorders>
              <w:top w:val="nil"/>
              <w:left w:val="nil"/>
              <w:bottom w:val="nil"/>
              <w:right w:val="nil"/>
            </w:tcBorders>
            <w:shd w:val="clear" w:color="auto" w:fill="auto"/>
            <w:noWrap/>
            <w:vAlign w:val="bottom"/>
            <w:hideMark/>
          </w:tcPr>
          <w:p w14:paraId="65A16342"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(-14,6 a 57,8)</w:t>
            </w:r>
          </w:p>
        </w:tc>
      </w:tr>
      <w:tr w:rsidR="002D2357" w:rsidRPr="004E6F9F" w14:paraId="7E4DC570" w14:textId="77777777" w:rsidTr="00DF53C5">
        <w:trPr>
          <w:trHeight w:val="168"/>
        </w:trPr>
        <w:tc>
          <w:tcPr>
            <w:tcW w:w="1985" w:type="dxa"/>
            <w:vMerge/>
            <w:tcBorders>
              <w:top w:val="nil"/>
              <w:left w:val="nil"/>
              <w:bottom w:val="nil"/>
              <w:right w:val="nil"/>
            </w:tcBorders>
            <w:vAlign w:val="center"/>
            <w:hideMark/>
          </w:tcPr>
          <w:p w14:paraId="269A2A6E"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single" w:sz="4" w:space="0" w:color="auto"/>
              <w:right w:val="nil"/>
            </w:tcBorders>
            <w:shd w:val="clear" w:color="auto" w:fill="auto"/>
            <w:noWrap/>
            <w:vAlign w:val="bottom"/>
            <w:hideMark/>
          </w:tcPr>
          <w:p w14:paraId="035A785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2017 - 2019</w:t>
            </w:r>
          </w:p>
        </w:tc>
        <w:tc>
          <w:tcPr>
            <w:tcW w:w="783" w:type="dxa"/>
            <w:tcBorders>
              <w:top w:val="nil"/>
              <w:left w:val="nil"/>
              <w:bottom w:val="single" w:sz="4" w:space="0" w:color="auto"/>
              <w:right w:val="nil"/>
            </w:tcBorders>
            <w:shd w:val="clear" w:color="auto" w:fill="auto"/>
            <w:noWrap/>
            <w:vAlign w:val="bottom"/>
            <w:hideMark/>
          </w:tcPr>
          <w:p w14:paraId="40C71B76"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-27,1*</w:t>
            </w:r>
          </w:p>
        </w:tc>
        <w:tc>
          <w:tcPr>
            <w:tcW w:w="1642" w:type="dxa"/>
            <w:tcBorders>
              <w:top w:val="nil"/>
              <w:left w:val="nil"/>
              <w:bottom w:val="single" w:sz="4" w:space="0" w:color="auto"/>
              <w:right w:val="nil"/>
            </w:tcBorders>
            <w:shd w:val="clear" w:color="auto" w:fill="auto"/>
            <w:noWrap/>
            <w:vAlign w:val="bottom"/>
            <w:hideMark/>
          </w:tcPr>
          <w:p w14:paraId="31755BC1"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(-46,4 a -0,9)</w:t>
            </w:r>
          </w:p>
        </w:tc>
      </w:tr>
      <w:tr w:rsidR="002D2357" w:rsidRPr="004E6F9F" w14:paraId="1E474135" w14:textId="77777777" w:rsidTr="00DF53C5">
        <w:trPr>
          <w:trHeight w:val="132"/>
        </w:trPr>
        <w:tc>
          <w:tcPr>
            <w:tcW w:w="1985" w:type="dxa"/>
            <w:tcBorders>
              <w:top w:val="nil"/>
              <w:left w:val="nil"/>
              <w:bottom w:val="nil"/>
              <w:right w:val="nil"/>
            </w:tcBorders>
            <w:shd w:val="clear" w:color="auto" w:fill="auto"/>
            <w:noWrap/>
            <w:vAlign w:val="center"/>
            <w:hideMark/>
          </w:tcPr>
          <w:p w14:paraId="089C611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Tubarão</w:t>
            </w:r>
          </w:p>
        </w:tc>
        <w:tc>
          <w:tcPr>
            <w:tcW w:w="1417" w:type="dxa"/>
            <w:tcBorders>
              <w:top w:val="nil"/>
              <w:left w:val="nil"/>
              <w:bottom w:val="single" w:sz="4" w:space="0" w:color="auto"/>
              <w:right w:val="nil"/>
            </w:tcBorders>
            <w:shd w:val="clear" w:color="auto" w:fill="auto"/>
            <w:noWrap/>
            <w:vAlign w:val="bottom"/>
            <w:hideMark/>
          </w:tcPr>
          <w:p w14:paraId="7245452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nil"/>
              <w:left w:val="nil"/>
              <w:bottom w:val="single" w:sz="4" w:space="0" w:color="auto"/>
              <w:right w:val="nil"/>
            </w:tcBorders>
            <w:shd w:val="clear" w:color="auto" w:fill="auto"/>
            <w:noWrap/>
            <w:vAlign w:val="bottom"/>
            <w:hideMark/>
          </w:tcPr>
          <w:p w14:paraId="667B0A43"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+4,4*</w:t>
            </w:r>
          </w:p>
        </w:tc>
        <w:tc>
          <w:tcPr>
            <w:tcW w:w="1642" w:type="dxa"/>
            <w:tcBorders>
              <w:top w:val="nil"/>
              <w:left w:val="nil"/>
              <w:bottom w:val="single" w:sz="4" w:space="0" w:color="auto"/>
              <w:right w:val="nil"/>
            </w:tcBorders>
            <w:shd w:val="clear" w:color="auto" w:fill="auto"/>
            <w:noWrap/>
            <w:vAlign w:val="bottom"/>
            <w:hideMark/>
          </w:tcPr>
          <w:p w14:paraId="19459A90"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(2,6 a 6,2)</w:t>
            </w:r>
          </w:p>
        </w:tc>
      </w:tr>
      <w:tr w:rsidR="002D2357" w:rsidRPr="004E6F9F" w14:paraId="4494ACE6" w14:textId="77777777" w:rsidTr="00DF53C5">
        <w:trPr>
          <w:trHeight w:val="300"/>
        </w:trPr>
        <w:tc>
          <w:tcPr>
            <w:tcW w:w="1985" w:type="dxa"/>
            <w:vMerge w:val="restart"/>
            <w:tcBorders>
              <w:top w:val="nil"/>
              <w:left w:val="nil"/>
              <w:bottom w:val="nil"/>
              <w:right w:val="nil"/>
            </w:tcBorders>
            <w:shd w:val="clear" w:color="auto" w:fill="auto"/>
            <w:noWrap/>
            <w:vAlign w:val="center"/>
            <w:hideMark/>
          </w:tcPr>
          <w:p w14:paraId="2E9D5F41"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Criciúma</w:t>
            </w:r>
          </w:p>
        </w:tc>
        <w:tc>
          <w:tcPr>
            <w:tcW w:w="1417" w:type="dxa"/>
            <w:tcBorders>
              <w:top w:val="nil"/>
              <w:left w:val="nil"/>
              <w:bottom w:val="nil"/>
              <w:right w:val="nil"/>
            </w:tcBorders>
            <w:shd w:val="clear" w:color="auto" w:fill="auto"/>
            <w:noWrap/>
            <w:vAlign w:val="bottom"/>
            <w:hideMark/>
          </w:tcPr>
          <w:p w14:paraId="665C01A6"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1996 - 2015</w:t>
            </w:r>
          </w:p>
        </w:tc>
        <w:tc>
          <w:tcPr>
            <w:tcW w:w="783" w:type="dxa"/>
            <w:tcBorders>
              <w:top w:val="nil"/>
              <w:left w:val="nil"/>
              <w:bottom w:val="nil"/>
              <w:right w:val="nil"/>
            </w:tcBorders>
            <w:shd w:val="clear" w:color="auto" w:fill="auto"/>
            <w:noWrap/>
            <w:vAlign w:val="bottom"/>
            <w:hideMark/>
          </w:tcPr>
          <w:p w14:paraId="72B8309E"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+7,4*</w:t>
            </w:r>
          </w:p>
        </w:tc>
        <w:tc>
          <w:tcPr>
            <w:tcW w:w="1642" w:type="dxa"/>
            <w:tcBorders>
              <w:top w:val="nil"/>
              <w:left w:val="nil"/>
              <w:bottom w:val="nil"/>
              <w:right w:val="nil"/>
            </w:tcBorders>
            <w:shd w:val="clear" w:color="auto" w:fill="auto"/>
            <w:noWrap/>
            <w:vAlign w:val="bottom"/>
            <w:hideMark/>
          </w:tcPr>
          <w:p w14:paraId="1F2E0C25"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(4,6 a 10,3)</w:t>
            </w:r>
          </w:p>
        </w:tc>
      </w:tr>
      <w:tr w:rsidR="002D2357" w:rsidRPr="004E6F9F" w14:paraId="534CAE1C" w14:textId="77777777" w:rsidTr="00DF53C5">
        <w:trPr>
          <w:trHeight w:val="300"/>
        </w:trPr>
        <w:tc>
          <w:tcPr>
            <w:tcW w:w="1985" w:type="dxa"/>
            <w:vMerge/>
            <w:tcBorders>
              <w:top w:val="nil"/>
              <w:left w:val="nil"/>
              <w:bottom w:val="nil"/>
              <w:right w:val="nil"/>
            </w:tcBorders>
            <w:vAlign w:val="center"/>
            <w:hideMark/>
          </w:tcPr>
          <w:p w14:paraId="16B9DC02" w14:textId="77777777" w:rsidR="002D2357" w:rsidRPr="00DF53C5" w:rsidRDefault="002D2357" w:rsidP="00A75234">
            <w:pPr>
              <w:spacing w:after="0" w:line="240" w:lineRule="auto"/>
              <w:rPr>
                <w:rFonts w:ascii="Arial" w:eastAsia="Times New Roman" w:hAnsi="Arial" w:cs="Arial"/>
                <w:color w:val="000000"/>
                <w:sz w:val="16"/>
                <w:szCs w:val="16"/>
                <w:lang w:eastAsia="pt-BR"/>
              </w:rPr>
            </w:pPr>
          </w:p>
        </w:tc>
        <w:tc>
          <w:tcPr>
            <w:tcW w:w="1417" w:type="dxa"/>
            <w:tcBorders>
              <w:top w:val="nil"/>
              <w:left w:val="nil"/>
              <w:bottom w:val="nil"/>
              <w:right w:val="nil"/>
            </w:tcBorders>
            <w:shd w:val="clear" w:color="auto" w:fill="auto"/>
            <w:noWrap/>
            <w:vAlign w:val="bottom"/>
            <w:hideMark/>
          </w:tcPr>
          <w:p w14:paraId="7339F424"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2015 - 2019</w:t>
            </w:r>
          </w:p>
        </w:tc>
        <w:tc>
          <w:tcPr>
            <w:tcW w:w="783" w:type="dxa"/>
            <w:tcBorders>
              <w:top w:val="nil"/>
              <w:left w:val="nil"/>
              <w:bottom w:val="nil"/>
              <w:right w:val="nil"/>
            </w:tcBorders>
            <w:shd w:val="clear" w:color="auto" w:fill="auto"/>
            <w:noWrap/>
            <w:vAlign w:val="bottom"/>
            <w:hideMark/>
          </w:tcPr>
          <w:p w14:paraId="11580ADB"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-13,3</w:t>
            </w:r>
          </w:p>
        </w:tc>
        <w:tc>
          <w:tcPr>
            <w:tcW w:w="1642" w:type="dxa"/>
            <w:tcBorders>
              <w:top w:val="nil"/>
              <w:left w:val="nil"/>
              <w:bottom w:val="nil"/>
              <w:right w:val="nil"/>
            </w:tcBorders>
            <w:shd w:val="clear" w:color="auto" w:fill="auto"/>
            <w:noWrap/>
            <w:vAlign w:val="bottom"/>
            <w:hideMark/>
          </w:tcPr>
          <w:p w14:paraId="79A53E1C"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(-34,6 a 15)</w:t>
            </w:r>
          </w:p>
        </w:tc>
      </w:tr>
      <w:tr w:rsidR="002D2357" w:rsidRPr="004E6F9F" w14:paraId="5291066F" w14:textId="77777777" w:rsidTr="00DF53C5">
        <w:trPr>
          <w:trHeight w:val="300"/>
        </w:trPr>
        <w:tc>
          <w:tcPr>
            <w:tcW w:w="1985" w:type="dxa"/>
            <w:tcBorders>
              <w:top w:val="nil"/>
              <w:left w:val="nil"/>
              <w:bottom w:val="single" w:sz="4" w:space="0" w:color="auto"/>
              <w:right w:val="nil"/>
            </w:tcBorders>
            <w:shd w:val="clear" w:color="auto" w:fill="auto"/>
            <w:noWrap/>
            <w:vAlign w:val="center"/>
            <w:hideMark/>
          </w:tcPr>
          <w:p w14:paraId="3FC03E6A"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Araranguá</w:t>
            </w:r>
          </w:p>
        </w:tc>
        <w:tc>
          <w:tcPr>
            <w:tcW w:w="1417" w:type="dxa"/>
            <w:tcBorders>
              <w:top w:val="single" w:sz="4" w:space="0" w:color="auto"/>
              <w:left w:val="nil"/>
              <w:bottom w:val="single" w:sz="4" w:space="0" w:color="auto"/>
              <w:right w:val="nil"/>
            </w:tcBorders>
            <w:shd w:val="clear" w:color="auto" w:fill="auto"/>
            <w:noWrap/>
            <w:vAlign w:val="bottom"/>
            <w:hideMark/>
          </w:tcPr>
          <w:p w14:paraId="4D2744F8"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1996 - 2019</w:t>
            </w:r>
          </w:p>
        </w:tc>
        <w:tc>
          <w:tcPr>
            <w:tcW w:w="783" w:type="dxa"/>
            <w:tcBorders>
              <w:top w:val="single" w:sz="4" w:space="0" w:color="auto"/>
              <w:left w:val="nil"/>
              <w:bottom w:val="single" w:sz="4" w:space="0" w:color="auto"/>
              <w:right w:val="nil"/>
            </w:tcBorders>
            <w:shd w:val="clear" w:color="auto" w:fill="auto"/>
            <w:noWrap/>
            <w:vAlign w:val="bottom"/>
            <w:hideMark/>
          </w:tcPr>
          <w:p w14:paraId="768DBD79" w14:textId="77777777" w:rsidR="002D2357" w:rsidRPr="00DF53C5" w:rsidRDefault="002D2357" w:rsidP="00A75234">
            <w:pPr>
              <w:spacing w:after="0" w:line="240" w:lineRule="auto"/>
              <w:jc w:val="center"/>
              <w:rPr>
                <w:rFonts w:ascii="Arial" w:eastAsia="Times New Roman" w:hAnsi="Arial" w:cs="Arial"/>
                <w:b/>
                <w:bCs/>
                <w:color w:val="000000"/>
                <w:sz w:val="16"/>
                <w:szCs w:val="16"/>
                <w:lang w:eastAsia="pt-BR"/>
              </w:rPr>
            </w:pPr>
            <w:r w:rsidRPr="00DF53C5">
              <w:rPr>
                <w:rFonts w:ascii="Arial" w:eastAsia="Times New Roman" w:hAnsi="Arial" w:cs="Arial"/>
                <w:b/>
                <w:bCs/>
                <w:color w:val="000000"/>
                <w:sz w:val="16"/>
                <w:szCs w:val="16"/>
                <w:lang w:eastAsia="pt-BR"/>
              </w:rPr>
              <w:t>+2,7*</w:t>
            </w:r>
          </w:p>
        </w:tc>
        <w:tc>
          <w:tcPr>
            <w:tcW w:w="1642" w:type="dxa"/>
            <w:tcBorders>
              <w:top w:val="single" w:sz="4" w:space="0" w:color="auto"/>
              <w:left w:val="nil"/>
              <w:bottom w:val="single" w:sz="4" w:space="0" w:color="auto"/>
              <w:right w:val="nil"/>
            </w:tcBorders>
            <w:shd w:val="clear" w:color="auto" w:fill="auto"/>
            <w:noWrap/>
            <w:vAlign w:val="bottom"/>
            <w:hideMark/>
          </w:tcPr>
          <w:p w14:paraId="36AAD3ED" w14:textId="77777777" w:rsidR="002D2357" w:rsidRPr="00DF53C5" w:rsidRDefault="002D2357" w:rsidP="00A75234">
            <w:pPr>
              <w:spacing w:after="0" w:line="240" w:lineRule="auto"/>
              <w:jc w:val="center"/>
              <w:rPr>
                <w:rFonts w:ascii="Arial" w:eastAsia="Times New Roman" w:hAnsi="Arial" w:cs="Arial"/>
                <w:color w:val="000000"/>
                <w:sz w:val="16"/>
                <w:szCs w:val="16"/>
                <w:lang w:eastAsia="pt-BR"/>
              </w:rPr>
            </w:pPr>
            <w:r w:rsidRPr="00DF53C5">
              <w:rPr>
                <w:rFonts w:ascii="Arial" w:eastAsia="Times New Roman" w:hAnsi="Arial" w:cs="Arial"/>
                <w:color w:val="000000"/>
                <w:sz w:val="16"/>
                <w:szCs w:val="16"/>
                <w:lang w:eastAsia="pt-BR"/>
              </w:rPr>
              <w:t>(0,6 a 4,8)</w:t>
            </w:r>
          </w:p>
        </w:tc>
      </w:tr>
    </w:tbl>
    <w:p w14:paraId="20B0BA46" w14:textId="77777777" w:rsidR="002D2357" w:rsidRPr="00DF53C5" w:rsidRDefault="002D2357" w:rsidP="00B3778A">
      <w:pPr>
        <w:spacing w:after="0" w:line="240" w:lineRule="auto"/>
        <w:jc w:val="both"/>
        <w:rPr>
          <w:rFonts w:ascii="Arial" w:hAnsi="Arial" w:cs="Arial"/>
          <w:sz w:val="18"/>
          <w:szCs w:val="18"/>
        </w:rPr>
      </w:pPr>
      <w:r w:rsidRPr="00DF53C5">
        <w:rPr>
          <w:rFonts w:ascii="Arial" w:hAnsi="Arial" w:cs="Arial"/>
          <w:sz w:val="18"/>
          <w:szCs w:val="18"/>
        </w:rPr>
        <w:t>+Variação Percentual Anual</w:t>
      </w:r>
    </w:p>
    <w:p w14:paraId="36E6E320" w14:textId="77777777" w:rsidR="002D2357" w:rsidRPr="00DF53C5" w:rsidRDefault="002D2357" w:rsidP="00B3778A">
      <w:pPr>
        <w:spacing w:after="0" w:line="240" w:lineRule="auto"/>
        <w:jc w:val="both"/>
        <w:rPr>
          <w:rFonts w:ascii="Arial" w:hAnsi="Arial" w:cs="Arial"/>
          <w:sz w:val="18"/>
          <w:szCs w:val="18"/>
        </w:rPr>
      </w:pPr>
      <w:r w:rsidRPr="00DF53C5">
        <w:rPr>
          <w:rFonts w:ascii="Arial" w:hAnsi="Arial" w:cs="Arial"/>
          <w:sz w:val="18"/>
          <w:szCs w:val="18"/>
        </w:rPr>
        <w:t>*estatisticamente diferente de zero</w:t>
      </w:r>
    </w:p>
    <w:p w14:paraId="405B0152" w14:textId="77777777" w:rsidR="002D2357" w:rsidRPr="004E6F9F" w:rsidRDefault="002D2357" w:rsidP="004E6F9F">
      <w:pPr>
        <w:spacing w:after="0" w:line="240" w:lineRule="auto"/>
        <w:ind w:firstLine="1134"/>
        <w:jc w:val="both"/>
        <w:rPr>
          <w:rFonts w:ascii="Arial" w:hAnsi="Arial" w:cs="Arial"/>
        </w:rPr>
      </w:pPr>
      <w:r w:rsidRPr="004E6F9F">
        <w:rPr>
          <w:rFonts w:ascii="Arial" w:hAnsi="Arial" w:cs="Arial"/>
        </w:rPr>
        <w:lastRenderedPageBreak/>
        <w:t>O mapa a seguir sintetiza os principais resultados da análise de tendência nas microrregiões de Santa Catarina (Figura 7). Foram consideradas tendência de aumento ou diminuição as microrregiões que apresentaram VPN estatisticamente diferente de zero, durante no mínimo 50% do período do estudo. Em 38,8% das áreas foi identificado tendência de aumento, inclui Chapecó e as microrregiões do litoral catarinense, com exceção de Joinville e Florianópolis. Essa última, Canoinhas e Curitibanos apresentaram tendência de diminuição (16,6% das microrregiões). As demais microrregiões (44,4%) apresentaram estabilidade.</w:t>
      </w:r>
    </w:p>
    <w:p w14:paraId="7E4E86EB" w14:textId="77777777" w:rsidR="002D2357" w:rsidRPr="004E6F9F" w:rsidRDefault="002D2357" w:rsidP="00076B55">
      <w:pPr>
        <w:spacing w:after="0" w:line="240" w:lineRule="auto"/>
        <w:ind w:firstLine="708"/>
        <w:jc w:val="both"/>
        <w:rPr>
          <w:rFonts w:ascii="Arial" w:hAnsi="Arial" w:cs="Arial"/>
        </w:rPr>
      </w:pPr>
    </w:p>
    <w:p w14:paraId="259AE74C" w14:textId="77777777" w:rsidR="002D2357" w:rsidRPr="004E6F9F" w:rsidRDefault="002D2357" w:rsidP="006A0FA8">
      <w:pPr>
        <w:spacing w:after="0" w:line="240" w:lineRule="auto"/>
        <w:jc w:val="both"/>
        <w:rPr>
          <w:rFonts w:ascii="Arial" w:hAnsi="Arial" w:cs="Arial"/>
        </w:rPr>
      </w:pPr>
      <w:r w:rsidRPr="004E6F9F">
        <w:rPr>
          <w:rFonts w:ascii="Arial" w:hAnsi="Arial" w:cs="Arial"/>
        </w:rPr>
        <w:t>Figura 7 – Tendência das taxas de homicídio em Santa Catarina, por microrregião</w:t>
      </w:r>
    </w:p>
    <w:p w14:paraId="42A82740" w14:textId="77777777" w:rsidR="002D2357" w:rsidRPr="004E6F9F" w:rsidRDefault="002D2357" w:rsidP="00B3778A">
      <w:pPr>
        <w:spacing w:after="0" w:line="240" w:lineRule="auto"/>
        <w:jc w:val="both"/>
        <w:rPr>
          <w:rFonts w:ascii="Arial" w:hAnsi="Arial" w:cs="Arial"/>
        </w:rPr>
      </w:pPr>
    </w:p>
    <w:p w14:paraId="47F69785" w14:textId="77777777" w:rsidR="002D2357" w:rsidRPr="004E6F9F" w:rsidRDefault="002D2357" w:rsidP="00B3778A">
      <w:pPr>
        <w:spacing w:after="0" w:line="240" w:lineRule="auto"/>
        <w:jc w:val="both"/>
        <w:rPr>
          <w:rFonts w:ascii="Arial" w:hAnsi="Arial" w:cs="Arial"/>
        </w:rPr>
      </w:pPr>
      <w:r w:rsidRPr="004E6F9F">
        <w:rPr>
          <w:rFonts w:ascii="Arial" w:hAnsi="Arial" w:cs="Arial"/>
          <w:noProof/>
          <w:lang w:eastAsia="pt-BR"/>
        </w:rPr>
        <w:drawing>
          <wp:inline distT="0" distB="0" distL="0" distR="0" wp14:anchorId="60691CC0" wp14:editId="3B80DC60">
            <wp:extent cx="4114800" cy="2601837"/>
            <wp:effectExtent l="0" t="0" r="0" b="8255"/>
            <wp:docPr id="41" name="Imagem 41" descr="D:\Users\danie\Documentos\0 Artigos 16\2021 Homicidio SC\tren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danie\Documentos\0 Artigos 16\2021 Homicidio SC\trend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5661" cy="2608705"/>
                    </a:xfrm>
                    <a:prstGeom prst="rect">
                      <a:avLst/>
                    </a:prstGeom>
                    <a:noFill/>
                    <a:ln>
                      <a:noFill/>
                    </a:ln>
                  </pic:spPr>
                </pic:pic>
              </a:graphicData>
            </a:graphic>
          </wp:inline>
        </w:drawing>
      </w:r>
    </w:p>
    <w:p w14:paraId="0913DA9B" w14:textId="77777777" w:rsidR="002D2357" w:rsidRPr="004E6F9F" w:rsidRDefault="002D2357" w:rsidP="00B3778A">
      <w:pPr>
        <w:spacing w:after="0" w:line="240" w:lineRule="auto"/>
        <w:jc w:val="both"/>
        <w:rPr>
          <w:rFonts w:ascii="Arial" w:hAnsi="Arial" w:cs="Arial"/>
        </w:rPr>
      </w:pPr>
    </w:p>
    <w:p w14:paraId="59B623AE" w14:textId="77777777" w:rsidR="002D2357" w:rsidRPr="008435B1" w:rsidRDefault="002D2357" w:rsidP="004E6F9F">
      <w:pPr>
        <w:spacing w:after="0" w:line="240" w:lineRule="auto"/>
        <w:ind w:firstLine="1134"/>
        <w:jc w:val="both"/>
        <w:rPr>
          <w:rFonts w:ascii="Arial" w:hAnsi="Arial" w:cs="Arial"/>
        </w:rPr>
      </w:pPr>
      <w:r w:rsidRPr="004E6F9F">
        <w:rPr>
          <w:rFonts w:ascii="Arial" w:hAnsi="Arial" w:cs="Arial"/>
        </w:rPr>
        <w:t>Portanto em Santa Catarina 83,2% das microrregiões apresentaram tendência de aumento ou permaneceram estáveis. O que chama a atenção inicialmente é a associação das tendência</w:t>
      </w:r>
      <w:r w:rsidRPr="008435B1">
        <w:rPr>
          <w:rFonts w:ascii="Arial" w:hAnsi="Arial" w:cs="Arial"/>
        </w:rPr>
        <w:t xml:space="preserve">s de aumento com as microrregiões mais populosas, com maior percentual de população urbana e de maior renda como Blumenau e Itajaí. No entanto a relação não é tão simples, a microrregião de Florianópolis apesar do predomínio de diminuição, apresentou oscilação e uma queda abrupta nos últimos anos. Relatório da UNODC analisou a associação do homicídio com a população urbana em 68 cidades de todo o mundo, entre 2005 </w:t>
      </w:r>
      <w:proofErr w:type="gramStart"/>
      <w:r w:rsidRPr="008435B1">
        <w:rPr>
          <w:rFonts w:ascii="Arial" w:hAnsi="Arial" w:cs="Arial"/>
        </w:rPr>
        <w:t>a</w:t>
      </w:r>
      <w:proofErr w:type="gramEnd"/>
      <w:r w:rsidRPr="008435B1">
        <w:rPr>
          <w:rFonts w:ascii="Arial" w:hAnsi="Arial" w:cs="Arial"/>
        </w:rPr>
        <w:t xml:space="preserve"> 2016, e não foi identificada correlação positiva </w:t>
      </w:r>
      <w:r w:rsidRPr="008435B1">
        <w:rPr>
          <w:rFonts w:ascii="Arial" w:hAnsi="Arial" w:cs="Arial"/>
          <w:noProof/>
        </w:rPr>
        <w:t>(UNODC, 2019)</w:t>
      </w:r>
      <w:r w:rsidRPr="004E6F9F">
        <w:rPr>
          <w:rFonts w:ascii="Arial" w:hAnsi="Arial" w:cs="Arial"/>
        </w:rPr>
        <w:t xml:space="preserve">. </w:t>
      </w:r>
      <w:r>
        <w:rPr>
          <w:rFonts w:ascii="Arial" w:hAnsi="Arial" w:cs="Arial"/>
        </w:rPr>
        <w:t xml:space="preserve">Com dados dos municípios brasileiros, </w:t>
      </w:r>
      <w:proofErr w:type="spellStart"/>
      <w:r>
        <w:rPr>
          <w:rFonts w:ascii="Arial" w:hAnsi="Arial" w:cs="Arial"/>
        </w:rPr>
        <w:t>Waiselfisz</w:t>
      </w:r>
      <w:proofErr w:type="spellEnd"/>
      <w:r>
        <w:rPr>
          <w:rFonts w:ascii="Arial" w:hAnsi="Arial" w:cs="Arial"/>
        </w:rPr>
        <w:t xml:space="preserve"> </w:t>
      </w:r>
      <w:r>
        <w:rPr>
          <w:rFonts w:ascii="Arial" w:hAnsi="Arial" w:cs="Arial"/>
          <w:noProof/>
        </w:rPr>
        <w:t>(2011)</w:t>
      </w:r>
      <w:r>
        <w:rPr>
          <w:rFonts w:ascii="Arial" w:hAnsi="Arial" w:cs="Arial"/>
        </w:rPr>
        <w:t xml:space="preserve"> identificou em meados da década de 2000</w:t>
      </w:r>
      <w:r w:rsidRPr="00A43AEE">
        <w:rPr>
          <w:rFonts w:ascii="Arial" w:hAnsi="Arial" w:cs="Arial"/>
        </w:rPr>
        <w:t xml:space="preserve"> um processo de desconcentração de homicídios</w:t>
      </w:r>
      <w:r>
        <w:rPr>
          <w:rFonts w:ascii="Arial" w:hAnsi="Arial" w:cs="Arial"/>
        </w:rPr>
        <w:t xml:space="preserve"> nas capitais e regiões metropolitanas</w:t>
      </w:r>
      <w:r w:rsidRPr="00A43AEE">
        <w:rPr>
          <w:rFonts w:ascii="Arial" w:hAnsi="Arial" w:cs="Arial"/>
        </w:rPr>
        <w:t xml:space="preserve">, </w:t>
      </w:r>
      <w:r>
        <w:rPr>
          <w:rFonts w:ascii="Arial" w:hAnsi="Arial" w:cs="Arial"/>
        </w:rPr>
        <w:t xml:space="preserve">e ao mesmo tempo um aumento nos municípios menores. De acordo com o autor, essa interiorização ou disseminação dos homicídios estaria relacionado com a emergência de novos polos econômicos em locais que não tinham aparelhos de segurança disponíveis. </w:t>
      </w:r>
      <w:r w:rsidRPr="004E6F9F">
        <w:rPr>
          <w:rFonts w:ascii="Arial" w:hAnsi="Arial" w:cs="Arial"/>
        </w:rPr>
        <w:t xml:space="preserve">São Paulo e Rio de Janeiro, as duas maiores metrópoles do país, apresentaram tendência de diminuição das taxas de homicídio a partir de 2000 </w:t>
      </w:r>
      <w:r w:rsidRPr="004E6F9F">
        <w:rPr>
          <w:rFonts w:ascii="Arial" w:hAnsi="Arial" w:cs="Arial"/>
          <w:noProof/>
        </w:rPr>
        <w:t>(CARDOSO; CECCHETTO; CORRÊA; SOUZA, 2016; PERES; VICENTIN; NERY; DE LIMA</w:t>
      </w:r>
      <w:r w:rsidRPr="004E6F9F">
        <w:rPr>
          <w:rFonts w:ascii="Arial" w:hAnsi="Arial" w:cs="Arial"/>
          <w:i/>
          <w:noProof/>
        </w:rPr>
        <w:t xml:space="preserve"> et al.</w:t>
      </w:r>
      <w:r w:rsidRPr="004E6F9F">
        <w:rPr>
          <w:rFonts w:ascii="Arial" w:hAnsi="Arial" w:cs="Arial"/>
          <w:noProof/>
        </w:rPr>
        <w:t>, 2011)</w:t>
      </w:r>
      <w:r w:rsidRPr="004E6F9F">
        <w:rPr>
          <w:rFonts w:ascii="Arial" w:hAnsi="Arial" w:cs="Arial"/>
        </w:rPr>
        <w:t xml:space="preserve">. Na cidade de São Paulo foram identificados grupos sociais onde a queda foi mais intensa: homens de 15 a 34, </w:t>
      </w:r>
      <w:r w:rsidRPr="004E6F9F">
        <w:rPr>
          <w:rFonts w:ascii="Arial" w:hAnsi="Arial" w:cs="Arial"/>
        </w:rPr>
        <w:lastRenderedPageBreak/>
        <w:t xml:space="preserve">moradores de áreas de exclusão social, homicídios cometidos por arma de fogo. Essas informações sugerem associação dessa queda em função de mudança no padrão de violência comunitária e criminal como a questão do tráfico de drogas e atividades ilegais </w:t>
      </w:r>
      <w:r w:rsidRPr="004E6F9F">
        <w:rPr>
          <w:rFonts w:ascii="Arial" w:hAnsi="Arial" w:cs="Arial"/>
          <w:noProof/>
        </w:rPr>
        <w:t>(PERES; VICENTIN; NERY; DE LIMA</w:t>
      </w:r>
      <w:r w:rsidRPr="004E6F9F">
        <w:rPr>
          <w:rFonts w:ascii="Arial" w:hAnsi="Arial" w:cs="Arial"/>
          <w:i/>
          <w:noProof/>
        </w:rPr>
        <w:t xml:space="preserve"> et al.</w:t>
      </w:r>
      <w:r w:rsidRPr="004E6F9F">
        <w:rPr>
          <w:rFonts w:ascii="Arial" w:hAnsi="Arial" w:cs="Arial"/>
          <w:noProof/>
        </w:rPr>
        <w:t>, 2011)</w:t>
      </w:r>
      <w:r w:rsidRPr="004E6F9F">
        <w:rPr>
          <w:rFonts w:ascii="Arial" w:hAnsi="Arial" w:cs="Arial"/>
        </w:rPr>
        <w:t xml:space="preserve">. Investimentos na área da segurança pública, como policiamento e aplicação da legislação de controle de armas </w:t>
      </w:r>
      <w:r w:rsidRPr="004E6F9F">
        <w:rPr>
          <w:rFonts w:ascii="Arial" w:hAnsi="Arial" w:cs="Arial"/>
          <w:noProof/>
        </w:rPr>
        <w:t>(GOERTZEL; KAHN, 2009)</w:t>
      </w:r>
      <w:r w:rsidRPr="004E6F9F">
        <w:rPr>
          <w:rFonts w:ascii="Arial" w:hAnsi="Arial" w:cs="Arial"/>
        </w:rPr>
        <w:t xml:space="preserve">, assim como o aumento do encarceramento </w:t>
      </w:r>
      <w:r w:rsidRPr="004E6F9F">
        <w:rPr>
          <w:rFonts w:ascii="Arial" w:hAnsi="Arial" w:cs="Arial"/>
          <w:noProof/>
        </w:rPr>
        <w:t>(NADANOVSKY, 2009)</w:t>
      </w:r>
      <w:r w:rsidRPr="004E6F9F">
        <w:rPr>
          <w:rFonts w:ascii="Arial" w:hAnsi="Arial" w:cs="Arial"/>
        </w:rPr>
        <w:t xml:space="preserve"> também foram elencadas como possíveis fatores explicativos. Inclui-se também a diminuição das desigualdades sociais, investimento em </w:t>
      </w:r>
      <w:r w:rsidRPr="008435B1">
        <w:rPr>
          <w:rFonts w:ascii="Arial" w:hAnsi="Arial" w:cs="Arial"/>
        </w:rPr>
        <w:t xml:space="preserve">ações de educação e cultura </w:t>
      </w:r>
      <w:r w:rsidRPr="008435B1">
        <w:rPr>
          <w:rFonts w:ascii="Arial" w:hAnsi="Arial" w:cs="Arial"/>
          <w:noProof/>
        </w:rPr>
        <w:t>(PERES; VICENTIN; NERY; DE LIMA</w:t>
      </w:r>
      <w:r w:rsidRPr="008435B1">
        <w:rPr>
          <w:rFonts w:ascii="Arial" w:hAnsi="Arial" w:cs="Arial"/>
          <w:i/>
          <w:noProof/>
        </w:rPr>
        <w:t xml:space="preserve"> et al.</w:t>
      </w:r>
      <w:r w:rsidRPr="008435B1">
        <w:rPr>
          <w:rFonts w:ascii="Arial" w:hAnsi="Arial" w:cs="Arial"/>
          <w:noProof/>
        </w:rPr>
        <w:t>, 2011)</w:t>
      </w:r>
      <w:r w:rsidRPr="008435B1">
        <w:rPr>
          <w:rFonts w:ascii="Arial" w:hAnsi="Arial" w:cs="Arial"/>
        </w:rPr>
        <w:t>. E por último, e não menos importante</w:t>
      </w:r>
      <w:r w:rsidRPr="004E6F9F">
        <w:rPr>
          <w:rFonts w:ascii="Arial" w:hAnsi="Arial" w:cs="Arial"/>
        </w:rPr>
        <w:t xml:space="preserve">, mecanismos de controle do crime organizado, como a facção hegemônica Primeiro Comando da Capital (PCC) que atua de forma coordenada dentro e fora dos presídios. </w:t>
      </w:r>
      <w:proofErr w:type="spellStart"/>
      <w:r w:rsidRPr="004E6F9F">
        <w:rPr>
          <w:rFonts w:ascii="Arial" w:hAnsi="Arial" w:cs="Arial"/>
        </w:rPr>
        <w:t>Feltran</w:t>
      </w:r>
      <w:proofErr w:type="spellEnd"/>
      <w:r w:rsidRPr="004E6F9F">
        <w:rPr>
          <w:rFonts w:ascii="Arial" w:hAnsi="Arial" w:cs="Arial"/>
        </w:rPr>
        <w:t xml:space="preserve"> </w:t>
      </w:r>
      <w:r w:rsidRPr="004E6F9F">
        <w:rPr>
          <w:rFonts w:ascii="Arial" w:hAnsi="Arial" w:cs="Arial"/>
          <w:noProof/>
        </w:rPr>
        <w:t>(2012)</w:t>
      </w:r>
      <w:r w:rsidRPr="004E6F9F">
        <w:rPr>
          <w:rFonts w:ascii="Arial" w:hAnsi="Arial" w:cs="Arial"/>
        </w:rPr>
        <w:t xml:space="preserve"> sugere a relação da implementação de políticas de interdição de atos violentos como o estupro e o homicídio com a queda dos homicídios em São Paulo. No Rio de Janeiro, Cardoso et al., </w:t>
      </w:r>
      <w:r w:rsidRPr="004E6F9F">
        <w:rPr>
          <w:rFonts w:ascii="Arial" w:hAnsi="Arial" w:cs="Arial"/>
          <w:noProof/>
        </w:rPr>
        <w:t>(2016)</w:t>
      </w:r>
      <w:r w:rsidRPr="004E6F9F">
        <w:rPr>
          <w:rFonts w:ascii="Arial" w:hAnsi="Arial" w:cs="Arial"/>
        </w:rPr>
        <w:t xml:space="preserve"> sugerem possível associação da queda do homicídio com a implantação do Sistema Integrado de Metas (SIM) pelo governo do estado, e a implantação das Unidades de Polícia Pacificadora (UPP) em algumas localidades do </w:t>
      </w:r>
      <w:r w:rsidRPr="008435B1">
        <w:rPr>
          <w:rFonts w:ascii="Arial" w:hAnsi="Arial" w:cs="Arial"/>
        </w:rPr>
        <w:t>município. Os autores destacam também um aumento expressivo nas taxas de pessoas desaparecidas, tanto no município quanto no estado do Rio de Janeiro.</w:t>
      </w:r>
    </w:p>
    <w:p w14:paraId="3B83ACF8" w14:textId="77777777" w:rsidR="002D2357" w:rsidRPr="004E6F9F" w:rsidRDefault="002D2357" w:rsidP="004E6F9F">
      <w:pPr>
        <w:spacing w:after="0" w:line="240" w:lineRule="auto"/>
        <w:ind w:firstLine="1134"/>
        <w:jc w:val="both"/>
        <w:rPr>
          <w:rFonts w:ascii="Arial" w:hAnsi="Arial" w:cs="Arial"/>
        </w:rPr>
      </w:pPr>
      <w:r w:rsidRPr="008435B1">
        <w:rPr>
          <w:rFonts w:ascii="Arial" w:hAnsi="Arial" w:cs="Arial"/>
        </w:rPr>
        <w:t xml:space="preserve">A capital Recife também apresentou queda dos homicídios após alguns anos, em meados da década de 2000, com padrão espacial peculiar. Em alguns anos, os homicídios foram concentrados em 2,32% das ruas do município </w:t>
      </w:r>
      <w:r w:rsidRPr="008435B1">
        <w:rPr>
          <w:rFonts w:ascii="Arial" w:hAnsi="Arial" w:cs="Arial"/>
          <w:noProof/>
        </w:rPr>
        <w:t>(PEREIRA; MOTA; ANDRESEN, 2017)</w:t>
      </w:r>
      <w:r w:rsidRPr="008435B1">
        <w:rPr>
          <w:rFonts w:ascii="Arial" w:hAnsi="Arial" w:cs="Arial"/>
        </w:rPr>
        <w:t>. O estudo também identificou que</w:t>
      </w:r>
      <w:r w:rsidRPr="004E6F9F">
        <w:rPr>
          <w:rFonts w:ascii="Arial" w:hAnsi="Arial" w:cs="Arial"/>
        </w:rPr>
        <w:t xml:space="preserve"> a diminuição foi mais intensa nas ruas onde a concentração de homicídios era maior. Dentre os fatores relacionados os autores citam o Pacto pela Vida, uma política de segurança pública do estado de Pernambuco implantada em 2007, que resultou numa série de projetos com o objetivo de diminuir o homicídio. No entanto o estudo não fez uma análise aprofundada, com base empírica, sobre essa hipótese. No município de Itabuna na Bahia, Costa et al., </w:t>
      </w:r>
      <w:r w:rsidRPr="004E6F9F">
        <w:rPr>
          <w:rFonts w:ascii="Arial" w:hAnsi="Arial" w:cs="Arial"/>
          <w:noProof/>
        </w:rPr>
        <w:t>(2014)</w:t>
      </w:r>
      <w:r w:rsidRPr="004E6F9F">
        <w:rPr>
          <w:rFonts w:ascii="Arial" w:hAnsi="Arial" w:cs="Arial"/>
        </w:rPr>
        <w:t xml:space="preserve"> identificaram aumento da taxa de homicídio de 2000 a 2012, no entanto não testaram se </w:t>
      </w:r>
      <w:proofErr w:type="gramStart"/>
      <w:r w:rsidRPr="004E6F9F">
        <w:rPr>
          <w:rFonts w:ascii="Arial" w:hAnsi="Arial" w:cs="Arial"/>
        </w:rPr>
        <w:t>o mesmo</w:t>
      </w:r>
      <w:proofErr w:type="gramEnd"/>
      <w:r w:rsidRPr="004E6F9F">
        <w:rPr>
          <w:rFonts w:ascii="Arial" w:hAnsi="Arial" w:cs="Arial"/>
        </w:rPr>
        <w:t xml:space="preserve"> foi estatisticamente significativo. Os autores sugerem que esse aumento pode estar relacionado com a crise das lavouras cacaueiras na região, que gerou fluxo migratório dos trabalhadores para a cidade de Itabuna, sobretudo para a periferia da área urbana, onde concentram os homicídios. Portanto o homicídio apresenta padrões específicos, em diferentes escalas no tempo e no espaço.</w:t>
      </w:r>
    </w:p>
    <w:p w14:paraId="458F6901" w14:textId="77777777" w:rsidR="002D2357" w:rsidRPr="004E6F9F" w:rsidRDefault="002D2357" w:rsidP="00E27861">
      <w:pPr>
        <w:spacing w:after="0" w:line="240" w:lineRule="auto"/>
        <w:jc w:val="both"/>
        <w:rPr>
          <w:rFonts w:ascii="Arial" w:hAnsi="Arial" w:cs="Arial"/>
        </w:rPr>
      </w:pPr>
    </w:p>
    <w:p w14:paraId="29BC2D12" w14:textId="77777777" w:rsidR="002D2357" w:rsidRPr="004E6F9F" w:rsidRDefault="002D2357" w:rsidP="005B16DD">
      <w:pPr>
        <w:spacing w:before="120" w:after="120" w:line="240" w:lineRule="auto"/>
        <w:jc w:val="both"/>
        <w:rPr>
          <w:rFonts w:ascii="Arial" w:hAnsi="Arial" w:cs="Arial"/>
          <w:b/>
        </w:rPr>
      </w:pPr>
    </w:p>
    <w:p w14:paraId="3319DFFC" w14:textId="77777777" w:rsidR="002D2357" w:rsidRPr="004E6F9F" w:rsidRDefault="002D2357" w:rsidP="005B16DD">
      <w:pPr>
        <w:spacing w:before="120" w:after="120" w:line="240" w:lineRule="auto"/>
        <w:jc w:val="both"/>
        <w:rPr>
          <w:rFonts w:ascii="Arial" w:hAnsi="Arial" w:cs="Arial"/>
          <w:b/>
        </w:rPr>
      </w:pPr>
      <w:r w:rsidRPr="004E6F9F">
        <w:rPr>
          <w:rFonts w:ascii="Arial" w:hAnsi="Arial" w:cs="Arial"/>
          <w:b/>
        </w:rPr>
        <w:t>CONSIDERAÇÕES FINAIS</w:t>
      </w:r>
    </w:p>
    <w:p w14:paraId="02B2953A" w14:textId="77777777" w:rsidR="002D2357" w:rsidRPr="004E6F9F" w:rsidRDefault="002D2357" w:rsidP="00A26750">
      <w:pPr>
        <w:spacing w:before="120" w:after="120" w:line="240" w:lineRule="auto"/>
        <w:ind w:firstLine="1134"/>
        <w:jc w:val="both"/>
        <w:rPr>
          <w:rFonts w:ascii="Arial" w:hAnsi="Arial" w:cs="Arial"/>
        </w:rPr>
      </w:pPr>
      <w:r w:rsidRPr="004E6F9F">
        <w:rPr>
          <w:rFonts w:ascii="Arial" w:hAnsi="Arial" w:cs="Arial"/>
        </w:rPr>
        <w:t xml:space="preserve">Assim como a tendência de aumento do homicídio em Santa Catarina, de 2003 a 2017, encobriu diferenças regionais importantes, cada microrregião também pode encobrir diferenças entre municípios, bairros, setores censitários, ruas. No município de Chapecó, por exemplo, estudo identificou que todos os homicídios estavam concentrados em 1/3 dos bairros, no período de 2008 a 2015 </w:t>
      </w:r>
      <w:r w:rsidRPr="004E6F9F">
        <w:rPr>
          <w:rFonts w:ascii="Arial" w:hAnsi="Arial" w:cs="Arial"/>
          <w:noProof/>
        </w:rPr>
        <w:t>(MONTEIRO; CONSTANTE, 2018)</w:t>
      </w:r>
      <w:r w:rsidRPr="004E6F9F">
        <w:rPr>
          <w:rFonts w:ascii="Arial" w:hAnsi="Arial" w:cs="Arial"/>
        </w:rPr>
        <w:t xml:space="preserve">. É provável que a carga de homicídio no município de Chapecó tenha influenciado a tendência de aumento da microrregião. Há uma informação interessante revelada em nosso estudo, nos últimos anos as microrregiões Chapecó, </w:t>
      </w:r>
      <w:r w:rsidRPr="004E6F9F">
        <w:rPr>
          <w:rFonts w:ascii="Arial" w:hAnsi="Arial" w:cs="Arial"/>
        </w:rPr>
        <w:lastRenderedPageBreak/>
        <w:t>Joinville e Florianópolis apresentaram tendênci</w:t>
      </w:r>
      <w:r>
        <w:rPr>
          <w:rFonts w:ascii="Arial" w:hAnsi="Arial" w:cs="Arial"/>
        </w:rPr>
        <w:t>a de queda brusca do homicídio</w:t>
      </w:r>
      <w:r w:rsidRPr="00325980">
        <w:rPr>
          <w:rFonts w:ascii="Arial" w:hAnsi="Arial" w:cs="Arial"/>
        </w:rPr>
        <w:t xml:space="preserve">, nos fazendo pensar em diferentes hipóteses para essa tendência, tais como: </w:t>
      </w:r>
      <w:r>
        <w:rPr>
          <w:rFonts w:ascii="Arial" w:hAnsi="Arial" w:cs="Arial"/>
        </w:rPr>
        <w:t>redução da desigualdade social</w:t>
      </w:r>
      <w:r w:rsidRPr="00325980">
        <w:rPr>
          <w:rFonts w:ascii="Arial" w:hAnsi="Arial" w:cs="Arial"/>
        </w:rPr>
        <w:t xml:space="preserve">, </w:t>
      </w:r>
      <w:r>
        <w:rPr>
          <w:rFonts w:ascii="Arial" w:hAnsi="Arial" w:cs="Arial"/>
        </w:rPr>
        <w:t>reflexo da inclusão de instituições de ensino e u</w:t>
      </w:r>
      <w:r w:rsidRPr="00325980">
        <w:rPr>
          <w:rFonts w:ascii="Arial" w:hAnsi="Arial" w:cs="Arial"/>
        </w:rPr>
        <w:t>niversidades públicas,</w:t>
      </w:r>
      <w:r>
        <w:rPr>
          <w:rFonts w:ascii="Arial" w:hAnsi="Arial" w:cs="Arial"/>
        </w:rPr>
        <w:t xml:space="preserve"> investimento em cultura e lazer,</w:t>
      </w:r>
      <w:r w:rsidRPr="00325980">
        <w:rPr>
          <w:rFonts w:ascii="Arial" w:hAnsi="Arial" w:cs="Arial"/>
        </w:rPr>
        <w:t xml:space="preserve"> prom</w:t>
      </w:r>
      <w:r>
        <w:rPr>
          <w:rFonts w:ascii="Arial" w:hAnsi="Arial" w:cs="Arial"/>
        </w:rPr>
        <w:t xml:space="preserve">oção de cultura de paz e </w:t>
      </w:r>
      <w:r w:rsidRPr="00325980">
        <w:rPr>
          <w:rFonts w:ascii="Arial" w:hAnsi="Arial" w:cs="Arial"/>
        </w:rPr>
        <w:t>campanha</w:t>
      </w:r>
      <w:r>
        <w:rPr>
          <w:rFonts w:ascii="Arial" w:hAnsi="Arial" w:cs="Arial"/>
        </w:rPr>
        <w:t>s</w:t>
      </w:r>
      <w:r w:rsidRPr="00325980">
        <w:rPr>
          <w:rFonts w:ascii="Arial" w:hAnsi="Arial" w:cs="Arial"/>
        </w:rPr>
        <w:t xml:space="preserve"> de desarmamento.  </w:t>
      </w:r>
      <w:r w:rsidRPr="004E6F9F">
        <w:rPr>
          <w:rFonts w:ascii="Arial" w:hAnsi="Arial" w:cs="Arial"/>
        </w:rPr>
        <w:t>Quais seriam outros possíveis desdobramentos dos resultados encontrados? Um dos caminhos seria uma análise mais detalhada do próprio fenômeno, ou seja, analisar também as taxas separadas por sexo, faixa etária, cor/raça, método de homicídio empregado. Outro caminho seria cruzar essas tendências com variáveis explicativas, provenientes de dados secundários, como renda, desemprego, e indicadores sintéticos como vulnerabilidade social, desorganização social</w:t>
      </w:r>
      <w:r>
        <w:rPr>
          <w:rFonts w:ascii="Arial" w:hAnsi="Arial" w:cs="Arial"/>
        </w:rPr>
        <w:t xml:space="preserve"> </w:t>
      </w:r>
      <w:r>
        <w:rPr>
          <w:rFonts w:ascii="Arial" w:hAnsi="Arial" w:cs="Arial"/>
          <w:noProof/>
        </w:rPr>
        <w:t>(PERES; NIVETTE, 2017)</w:t>
      </w:r>
      <w:r w:rsidRPr="004E6F9F">
        <w:rPr>
          <w:rFonts w:ascii="Arial" w:hAnsi="Arial" w:cs="Arial"/>
        </w:rPr>
        <w:t xml:space="preserve">. Diferentes metodologias também podem oferecer ganho de conhecimento, como informações coletadas em campo, em estudos etnográficos. Nosso estudo identificou um aumento significativo do homicídio ao longo do período estudado, </w:t>
      </w:r>
      <w:proofErr w:type="gramStart"/>
      <w:r w:rsidRPr="004E6F9F">
        <w:rPr>
          <w:rFonts w:ascii="Arial" w:hAnsi="Arial" w:cs="Arial"/>
        </w:rPr>
        <w:t>e além disso</w:t>
      </w:r>
      <w:proofErr w:type="gramEnd"/>
      <w:r w:rsidRPr="004E6F9F">
        <w:rPr>
          <w:rFonts w:ascii="Arial" w:hAnsi="Arial" w:cs="Arial"/>
        </w:rPr>
        <w:t>, ocorreram diferenças na dinâmica dos homicídios no estado de acordo com as microrregiões. Os resultados indicam a necessidade de aprofundamento da investigação acerca desse cenário, favorecendo assim um monitoramento efetivo dos eventos, contribuindo assim para a formulação de políticas públicas intersetoriais que beneficiem a população.</w:t>
      </w:r>
    </w:p>
    <w:p w14:paraId="1A747927" w14:textId="77777777" w:rsidR="002D2357" w:rsidRPr="004E6F9F" w:rsidRDefault="002D2357" w:rsidP="005B16DD">
      <w:pPr>
        <w:spacing w:before="120" w:after="120" w:line="240" w:lineRule="auto"/>
        <w:jc w:val="both"/>
        <w:rPr>
          <w:rFonts w:ascii="Arial" w:hAnsi="Arial" w:cs="Arial"/>
          <w:b/>
        </w:rPr>
      </w:pPr>
    </w:p>
    <w:p w14:paraId="01588345" w14:textId="77777777" w:rsidR="002D2357" w:rsidRPr="002D2357" w:rsidRDefault="002D2357" w:rsidP="005B16DD">
      <w:pPr>
        <w:spacing w:before="120" w:after="120" w:line="240" w:lineRule="auto"/>
        <w:jc w:val="both"/>
        <w:rPr>
          <w:rFonts w:ascii="Arial" w:hAnsi="Arial" w:cs="Arial"/>
          <w:b/>
        </w:rPr>
      </w:pPr>
      <w:r w:rsidRPr="002D2357">
        <w:rPr>
          <w:rFonts w:ascii="Arial" w:hAnsi="Arial" w:cs="Arial"/>
          <w:b/>
        </w:rPr>
        <w:t>REFERÊNCIAS</w:t>
      </w:r>
    </w:p>
    <w:p w14:paraId="3BB0A716" w14:textId="77777777" w:rsidR="002D2357" w:rsidRPr="002D2357" w:rsidRDefault="002D2357" w:rsidP="005B16DD">
      <w:pPr>
        <w:spacing w:before="120" w:after="120" w:line="240" w:lineRule="auto"/>
        <w:jc w:val="both"/>
        <w:rPr>
          <w:rFonts w:ascii="Arial" w:hAnsi="Arial" w:cs="Arial"/>
          <w:color w:val="000000"/>
          <w:sz w:val="20"/>
          <w:szCs w:val="20"/>
        </w:rPr>
      </w:pPr>
    </w:p>
    <w:p w14:paraId="0306D99A" w14:textId="77777777" w:rsidR="002D2357" w:rsidRPr="002D2357" w:rsidRDefault="002D2357" w:rsidP="00DF53C5">
      <w:pPr>
        <w:pStyle w:val="EndNoteBibliography"/>
        <w:jc w:val="left"/>
        <w:rPr>
          <w:rFonts w:ascii="Arial" w:hAnsi="Arial" w:cs="Arial"/>
        </w:rPr>
      </w:pPr>
      <w:r w:rsidRPr="00485B68">
        <w:rPr>
          <w:rFonts w:ascii="Arial" w:hAnsi="Arial" w:cs="Arial"/>
          <w:lang w:val="pt-BR"/>
        </w:rPr>
        <w:t>AHMAD, O. B.; BOSCHI-PINTO, C.; LOPEZ, A.; MURRAY, C.</w:t>
      </w:r>
      <w:r w:rsidRPr="00485B68">
        <w:rPr>
          <w:rFonts w:ascii="Arial" w:hAnsi="Arial" w:cs="Arial"/>
          <w:i/>
          <w:lang w:val="pt-BR"/>
        </w:rPr>
        <w:t xml:space="preserve"> et al.</w:t>
      </w:r>
      <w:r w:rsidRPr="00485B68">
        <w:rPr>
          <w:rFonts w:ascii="Arial" w:hAnsi="Arial" w:cs="Arial"/>
          <w:lang w:val="pt-BR"/>
        </w:rPr>
        <w:t xml:space="preserve"> </w:t>
      </w:r>
      <w:r w:rsidRPr="002D2357">
        <w:rPr>
          <w:rFonts w:ascii="Arial" w:hAnsi="Arial" w:cs="Arial"/>
        </w:rPr>
        <w:t xml:space="preserve">A new WHO standard population. Age standardization of rates: a new WHO standard. </w:t>
      </w:r>
      <w:r w:rsidRPr="002D2357">
        <w:rPr>
          <w:rFonts w:ascii="Arial" w:hAnsi="Arial" w:cs="Arial"/>
          <w:b/>
        </w:rPr>
        <w:t>GPE Discussion Paper Series: Geneva, World Health Organization</w:t>
      </w:r>
      <w:r w:rsidRPr="002D2357">
        <w:rPr>
          <w:rFonts w:ascii="Arial" w:hAnsi="Arial" w:cs="Arial"/>
        </w:rPr>
        <w:t>, 31, 2001.</w:t>
      </w:r>
    </w:p>
    <w:p w14:paraId="38D6A962" w14:textId="77777777" w:rsidR="002D2357" w:rsidRDefault="002D2357" w:rsidP="00DF53C5">
      <w:pPr>
        <w:pStyle w:val="EndNoteBibliography"/>
        <w:spacing w:after="0"/>
        <w:jc w:val="left"/>
        <w:rPr>
          <w:rFonts w:ascii="Arial" w:hAnsi="Arial" w:cs="Arial"/>
        </w:rPr>
      </w:pPr>
      <w:r w:rsidRPr="002D2357">
        <w:rPr>
          <w:rFonts w:ascii="Arial" w:hAnsi="Arial" w:cs="Arial"/>
          <w:lang w:val="pt-BR"/>
        </w:rPr>
        <w:t xml:space="preserve">BANDO, D. H.; BRUNONI, A.; FERNANDES, T.; BENSENOR, I. M. et al. </w:t>
      </w:r>
      <w:r w:rsidRPr="002D2357">
        <w:rPr>
          <w:rFonts w:ascii="Arial" w:hAnsi="Arial" w:cs="Arial"/>
        </w:rPr>
        <w:t xml:space="preserve">Suicide rates and trends in São Paulo, Brazil according to gender, age and demographic aspects: a joinpoint regression analysis. </w:t>
      </w:r>
      <w:r w:rsidRPr="002D2357">
        <w:rPr>
          <w:rFonts w:ascii="Arial" w:hAnsi="Arial" w:cs="Arial"/>
          <w:b/>
        </w:rPr>
        <w:t>Rev Bras Psiquiatr</w:t>
      </w:r>
      <w:r w:rsidRPr="002D2357">
        <w:rPr>
          <w:rFonts w:ascii="Arial" w:hAnsi="Arial" w:cs="Arial"/>
        </w:rPr>
        <w:t>, 34, n. 3, p. 286-293, 2012.</w:t>
      </w:r>
      <w:r>
        <w:rPr>
          <w:rFonts w:ascii="Arial" w:hAnsi="Arial" w:cs="Arial"/>
        </w:rPr>
        <w:t xml:space="preserve"> </w:t>
      </w:r>
    </w:p>
    <w:p w14:paraId="1E2CF68A" w14:textId="77777777" w:rsidR="002D2357" w:rsidRPr="002D2357" w:rsidRDefault="002D2357" w:rsidP="00DF53C5">
      <w:pPr>
        <w:pStyle w:val="EndNoteBibliography"/>
        <w:spacing w:after="0"/>
        <w:jc w:val="left"/>
        <w:rPr>
          <w:rFonts w:ascii="Arial" w:hAnsi="Arial" w:cs="Arial"/>
        </w:rPr>
      </w:pPr>
    </w:p>
    <w:p w14:paraId="3DFABFC2" w14:textId="77777777" w:rsidR="002D2357" w:rsidRPr="002D2357" w:rsidRDefault="002D2357" w:rsidP="00DF53C5">
      <w:pPr>
        <w:pStyle w:val="EndNoteBibliography"/>
        <w:jc w:val="left"/>
        <w:rPr>
          <w:rFonts w:ascii="Arial" w:hAnsi="Arial" w:cs="Arial"/>
          <w:lang w:val="pt-BR"/>
        </w:rPr>
      </w:pPr>
      <w:r w:rsidRPr="002D2357">
        <w:rPr>
          <w:rFonts w:ascii="Arial" w:hAnsi="Arial" w:cs="Arial"/>
        </w:rPr>
        <w:t xml:space="preserve">BANDO, D. H.; LESTER, D. An ecological study on suicide and homicide in Brazil. </w:t>
      </w:r>
      <w:r w:rsidRPr="002D2357">
        <w:rPr>
          <w:rFonts w:ascii="Arial" w:hAnsi="Arial" w:cs="Arial"/>
          <w:b/>
          <w:lang w:val="pt-BR"/>
        </w:rPr>
        <w:t>Cien Saude Colet</w:t>
      </w:r>
      <w:r w:rsidRPr="002D2357">
        <w:rPr>
          <w:rFonts w:ascii="Arial" w:hAnsi="Arial" w:cs="Arial"/>
          <w:lang w:val="pt-BR"/>
        </w:rPr>
        <w:t>, 19, n. 4, p. 1179-1189, Apr 2014.</w:t>
      </w:r>
    </w:p>
    <w:p w14:paraId="579B5515" w14:textId="77777777" w:rsidR="002D2357" w:rsidRPr="002D2357" w:rsidRDefault="002D2357" w:rsidP="00DF53C5">
      <w:pPr>
        <w:pStyle w:val="EndNoteBibliography"/>
        <w:spacing w:after="0"/>
        <w:jc w:val="left"/>
        <w:rPr>
          <w:rFonts w:ascii="Arial" w:hAnsi="Arial" w:cs="Arial"/>
          <w:lang w:val="pt-BR"/>
        </w:rPr>
      </w:pPr>
    </w:p>
    <w:p w14:paraId="7D1BFE23"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CARDOSO, F. L. M. G.; CECCHETTO, F. R.; CORRÊA, J. S.; SOUZA, T. O. d. Homicídios no Rio de Janeiro, Brasil: uma análise da violência letal. </w:t>
      </w:r>
      <w:r w:rsidRPr="002D2357">
        <w:rPr>
          <w:rFonts w:ascii="Arial" w:hAnsi="Arial" w:cs="Arial"/>
          <w:b/>
          <w:lang w:val="pt-BR"/>
        </w:rPr>
        <w:t>Ciência &amp; Saúde Coletiva</w:t>
      </w:r>
      <w:r w:rsidRPr="002D2357">
        <w:rPr>
          <w:rFonts w:ascii="Arial" w:hAnsi="Arial" w:cs="Arial"/>
          <w:lang w:val="pt-BR"/>
        </w:rPr>
        <w:t>, 21, p. 1277-1288, 2016.</w:t>
      </w:r>
    </w:p>
    <w:p w14:paraId="35F17A0E" w14:textId="77777777" w:rsidR="002D2357" w:rsidRPr="002D2357" w:rsidRDefault="002D2357" w:rsidP="00DF53C5">
      <w:pPr>
        <w:pStyle w:val="EndNoteBibliography"/>
        <w:spacing w:after="0"/>
        <w:jc w:val="left"/>
        <w:rPr>
          <w:rFonts w:ascii="Arial" w:hAnsi="Arial" w:cs="Arial"/>
          <w:lang w:val="pt-BR"/>
        </w:rPr>
      </w:pPr>
    </w:p>
    <w:p w14:paraId="0BE42FF3"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COSTA, F. A. d. M. M.; TRINDADE, R. F. C. d.; SANTOS, C. B. d. Deaths from homicides: a historical series. </w:t>
      </w:r>
      <w:r w:rsidRPr="002D2357">
        <w:rPr>
          <w:rFonts w:ascii="Arial" w:hAnsi="Arial" w:cs="Arial"/>
          <w:b/>
          <w:lang w:val="pt-BR"/>
        </w:rPr>
        <w:t>Revista Latino-Americana de Enfermagem</w:t>
      </w:r>
      <w:r w:rsidRPr="002D2357">
        <w:rPr>
          <w:rFonts w:ascii="Arial" w:hAnsi="Arial" w:cs="Arial"/>
          <w:lang w:val="pt-BR"/>
        </w:rPr>
        <w:t>, 22, p. 1017-1025, 2014.</w:t>
      </w:r>
    </w:p>
    <w:p w14:paraId="4C102DFB" w14:textId="77777777" w:rsidR="002D2357" w:rsidRPr="002D2357" w:rsidRDefault="002D2357" w:rsidP="00DF53C5">
      <w:pPr>
        <w:pStyle w:val="EndNoteBibliography"/>
        <w:spacing w:after="0"/>
        <w:jc w:val="left"/>
        <w:rPr>
          <w:rFonts w:ascii="Arial" w:hAnsi="Arial" w:cs="Arial"/>
          <w:lang w:val="pt-BR"/>
        </w:rPr>
      </w:pPr>
    </w:p>
    <w:p w14:paraId="23C0D292"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DATASUS. </w:t>
      </w:r>
      <w:r w:rsidRPr="002D2357">
        <w:rPr>
          <w:rFonts w:ascii="Arial" w:hAnsi="Arial" w:cs="Arial"/>
          <w:b/>
          <w:lang w:val="pt-BR"/>
        </w:rPr>
        <w:t>Departamento de Informática do Sistema Único de Saúde.</w:t>
      </w:r>
      <w:r w:rsidRPr="002D2357">
        <w:rPr>
          <w:rFonts w:ascii="Arial" w:hAnsi="Arial" w:cs="Arial"/>
          <w:lang w:val="pt-BR"/>
        </w:rPr>
        <w:t>,  2020. Disponível em: http://www2.datasus.gov.br/DATASUS/index.php. .</w:t>
      </w:r>
    </w:p>
    <w:p w14:paraId="375B0375" w14:textId="77777777" w:rsidR="002D2357" w:rsidRPr="002D2357" w:rsidRDefault="002D2357" w:rsidP="00DF53C5">
      <w:pPr>
        <w:pStyle w:val="EndNoteBibliography"/>
        <w:spacing w:after="0"/>
        <w:jc w:val="left"/>
        <w:rPr>
          <w:rFonts w:ascii="Arial" w:hAnsi="Arial" w:cs="Arial"/>
          <w:lang w:val="pt-BR"/>
        </w:rPr>
      </w:pPr>
    </w:p>
    <w:p w14:paraId="39A05FDE"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FELTRAN, G. d. S. Governo que produz crime, crime que produz governo: o dispositivo de gestão do homicídio em São Paulo (1992 - 2011). </w:t>
      </w:r>
      <w:r w:rsidRPr="002D2357">
        <w:rPr>
          <w:rFonts w:ascii="Arial" w:hAnsi="Arial" w:cs="Arial"/>
          <w:b/>
          <w:lang w:val="pt-BR"/>
        </w:rPr>
        <w:t xml:space="preserve">Revista Brasileira de Segurança Pública </w:t>
      </w:r>
      <w:r w:rsidRPr="002D2357">
        <w:rPr>
          <w:rFonts w:ascii="Arial" w:hAnsi="Arial" w:cs="Arial"/>
          <w:lang w:val="pt-BR"/>
        </w:rPr>
        <w:t>6, n. 2, p. 232-255, 2012.</w:t>
      </w:r>
    </w:p>
    <w:p w14:paraId="588AA29C" w14:textId="77777777" w:rsidR="002D2357" w:rsidRPr="002D2357" w:rsidRDefault="002D2357" w:rsidP="00DF53C5">
      <w:pPr>
        <w:pStyle w:val="EndNoteBibliography"/>
        <w:spacing w:after="0"/>
        <w:jc w:val="left"/>
        <w:rPr>
          <w:rFonts w:ascii="Arial" w:hAnsi="Arial" w:cs="Arial"/>
          <w:lang w:val="pt-BR"/>
        </w:rPr>
      </w:pPr>
    </w:p>
    <w:p w14:paraId="598D2824" w14:textId="77777777" w:rsidR="002D2357" w:rsidRPr="002D2357" w:rsidRDefault="002D2357" w:rsidP="00DF53C5">
      <w:pPr>
        <w:pStyle w:val="EndNoteBibliography"/>
        <w:jc w:val="left"/>
        <w:rPr>
          <w:rFonts w:ascii="Arial" w:hAnsi="Arial" w:cs="Arial"/>
        </w:rPr>
      </w:pPr>
      <w:r w:rsidRPr="002D2357">
        <w:rPr>
          <w:rFonts w:ascii="Arial" w:hAnsi="Arial" w:cs="Arial"/>
          <w:lang w:val="pt-BR"/>
        </w:rPr>
        <w:t xml:space="preserve">GOERTZEL, T.; KAHN, T. The Great São Paulo Homicide Drop. </w:t>
      </w:r>
      <w:r w:rsidRPr="002D2357">
        <w:rPr>
          <w:rFonts w:ascii="Arial" w:hAnsi="Arial" w:cs="Arial"/>
          <w:b/>
        </w:rPr>
        <w:t>Homicide Studies</w:t>
      </w:r>
      <w:r w:rsidRPr="002D2357">
        <w:rPr>
          <w:rFonts w:ascii="Arial" w:hAnsi="Arial" w:cs="Arial"/>
        </w:rPr>
        <w:t>, 13, n. 4, p. 398-410, 2009.</w:t>
      </w:r>
    </w:p>
    <w:p w14:paraId="1749D562" w14:textId="77777777" w:rsidR="002D2357" w:rsidRPr="002D2357" w:rsidRDefault="002D2357" w:rsidP="00DF53C5">
      <w:pPr>
        <w:pStyle w:val="EndNoteBibliography"/>
        <w:spacing w:after="0"/>
        <w:jc w:val="left"/>
        <w:rPr>
          <w:rFonts w:ascii="Arial" w:hAnsi="Arial" w:cs="Arial"/>
        </w:rPr>
      </w:pPr>
    </w:p>
    <w:p w14:paraId="068BBE16" w14:textId="77777777" w:rsidR="002D2357" w:rsidRPr="002D2357" w:rsidRDefault="002D2357" w:rsidP="00DF53C5">
      <w:pPr>
        <w:pStyle w:val="EndNoteBibliography"/>
        <w:jc w:val="left"/>
        <w:rPr>
          <w:rFonts w:ascii="Arial" w:hAnsi="Arial" w:cs="Arial"/>
          <w:lang w:val="pt-BR"/>
        </w:rPr>
      </w:pPr>
      <w:r w:rsidRPr="002D2357">
        <w:rPr>
          <w:rFonts w:ascii="Arial" w:hAnsi="Arial" w:cs="Arial"/>
        </w:rPr>
        <w:t xml:space="preserve">IBGE. </w:t>
      </w:r>
      <w:r w:rsidRPr="002D2357">
        <w:rPr>
          <w:rFonts w:ascii="Arial" w:hAnsi="Arial" w:cs="Arial"/>
          <w:b/>
          <w:lang w:val="pt-BR"/>
        </w:rPr>
        <w:t>Instituto Brasileiro de Geografia e Estatística. Censo 2010</w:t>
      </w:r>
      <w:r w:rsidRPr="002D2357">
        <w:rPr>
          <w:rFonts w:ascii="Arial" w:hAnsi="Arial" w:cs="Arial"/>
          <w:lang w:val="pt-BR"/>
        </w:rPr>
        <w:t>.  2010. Disponível em: www.ibge.gov.br/.</w:t>
      </w:r>
    </w:p>
    <w:p w14:paraId="3A080F49" w14:textId="77777777" w:rsidR="002D2357" w:rsidRPr="002D2357" w:rsidRDefault="002D2357" w:rsidP="00DF53C5">
      <w:pPr>
        <w:pStyle w:val="EndNoteBibliography"/>
        <w:spacing w:after="0"/>
        <w:jc w:val="left"/>
        <w:rPr>
          <w:rFonts w:ascii="Arial" w:hAnsi="Arial" w:cs="Arial"/>
          <w:lang w:val="pt-BR"/>
        </w:rPr>
      </w:pPr>
    </w:p>
    <w:p w14:paraId="623F2D52"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IBGE. </w:t>
      </w:r>
      <w:r w:rsidRPr="002D2357">
        <w:rPr>
          <w:rFonts w:ascii="Arial" w:hAnsi="Arial" w:cs="Arial"/>
          <w:b/>
          <w:lang w:val="pt-BR"/>
        </w:rPr>
        <w:t>Instituto Brasileiro de Geografia e Estatística</w:t>
      </w:r>
      <w:r w:rsidRPr="002D2357">
        <w:rPr>
          <w:rFonts w:ascii="Arial" w:hAnsi="Arial" w:cs="Arial"/>
          <w:lang w:val="pt-BR"/>
        </w:rPr>
        <w:t>.  2020. Disponível em: https://www.ibge.gov.br.</w:t>
      </w:r>
    </w:p>
    <w:p w14:paraId="2CBA9FC5" w14:textId="77777777" w:rsidR="002D2357" w:rsidRPr="002D2357" w:rsidRDefault="002D2357" w:rsidP="00DF53C5">
      <w:pPr>
        <w:pStyle w:val="EndNoteBibliography"/>
        <w:spacing w:after="0"/>
        <w:jc w:val="left"/>
        <w:rPr>
          <w:rFonts w:ascii="Arial" w:hAnsi="Arial" w:cs="Arial"/>
          <w:lang w:val="pt-BR"/>
        </w:rPr>
      </w:pPr>
    </w:p>
    <w:p w14:paraId="0E902182"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MARTINELLI, M. </w:t>
      </w:r>
      <w:r w:rsidRPr="002D2357">
        <w:rPr>
          <w:rFonts w:ascii="Arial" w:hAnsi="Arial" w:cs="Arial"/>
          <w:b/>
          <w:lang w:val="pt-BR"/>
        </w:rPr>
        <w:t>Mapas da geografia e cartografia temática</w:t>
      </w:r>
      <w:r w:rsidRPr="002D2357">
        <w:rPr>
          <w:rFonts w:ascii="Arial" w:hAnsi="Arial" w:cs="Arial"/>
          <w:lang w:val="pt-BR"/>
        </w:rPr>
        <w:t>. São Paulo: Contexto, 2013. 9788572442183.</w:t>
      </w:r>
    </w:p>
    <w:p w14:paraId="4A624301" w14:textId="77777777" w:rsidR="002D2357" w:rsidRPr="002D2357" w:rsidRDefault="002D2357" w:rsidP="00DF53C5">
      <w:pPr>
        <w:pStyle w:val="EndNoteBibliography"/>
        <w:spacing w:after="0"/>
        <w:jc w:val="left"/>
        <w:rPr>
          <w:rFonts w:ascii="Arial" w:hAnsi="Arial" w:cs="Arial"/>
          <w:lang w:val="pt-BR"/>
        </w:rPr>
      </w:pPr>
    </w:p>
    <w:p w14:paraId="36B161D8" w14:textId="77777777" w:rsidR="002D2357" w:rsidRPr="002D2357" w:rsidRDefault="002D2357" w:rsidP="00DF53C5">
      <w:pPr>
        <w:pStyle w:val="EndNoteBibliography"/>
        <w:jc w:val="left"/>
        <w:rPr>
          <w:rFonts w:ascii="Arial" w:hAnsi="Arial" w:cs="Arial"/>
        </w:rPr>
      </w:pPr>
      <w:r w:rsidRPr="002D2357">
        <w:rPr>
          <w:rFonts w:ascii="Arial" w:hAnsi="Arial" w:cs="Arial"/>
          <w:lang w:val="pt-BR"/>
        </w:rPr>
        <w:t xml:space="preserve">MONTEIRO, F. M.; CONSTANTE, V. Violência e Segurança Pública em Chapecó: uma análise espacial e temporal das taxas de homicídios no período de 1980 a 2015. </w:t>
      </w:r>
      <w:r w:rsidRPr="002D2357">
        <w:rPr>
          <w:rFonts w:ascii="Arial" w:hAnsi="Arial" w:cs="Arial"/>
          <w:i/>
          <w:lang w:val="pt-BR"/>
        </w:rPr>
        <w:t>In</w:t>
      </w:r>
      <w:r w:rsidRPr="002D2357">
        <w:rPr>
          <w:rFonts w:ascii="Arial" w:hAnsi="Arial" w:cs="Arial"/>
          <w:lang w:val="pt-BR"/>
        </w:rPr>
        <w:t>: HASS, M.;MATIELLO, A. M.</w:t>
      </w:r>
      <w:r w:rsidRPr="002D2357">
        <w:rPr>
          <w:rFonts w:ascii="Arial" w:hAnsi="Arial" w:cs="Arial"/>
          <w:i/>
          <w:lang w:val="pt-BR"/>
        </w:rPr>
        <w:t>, et al</w:t>
      </w:r>
      <w:r w:rsidRPr="002D2357">
        <w:rPr>
          <w:rFonts w:ascii="Arial" w:hAnsi="Arial" w:cs="Arial"/>
          <w:lang w:val="pt-BR"/>
        </w:rPr>
        <w:t xml:space="preserve"> (Ed.). </w:t>
      </w:r>
      <w:r w:rsidRPr="002D2357">
        <w:rPr>
          <w:rFonts w:ascii="Arial" w:hAnsi="Arial" w:cs="Arial"/>
          <w:b/>
          <w:lang w:val="pt-BR"/>
        </w:rPr>
        <w:t>Políticas públicas, descentralização e participação social: contribuições ao estudo da trajetória em Chapecó/SC</w:t>
      </w:r>
      <w:r w:rsidRPr="002D2357">
        <w:rPr>
          <w:rFonts w:ascii="Arial" w:hAnsi="Arial" w:cs="Arial"/>
          <w:lang w:val="pt-BR"/>
        </w:rPr>
        <w:t xml:space="preserve">. </w:t>
      </w:r>
      <w:r w:rsidRPr="002D2357">
        <w:rPr>
          <w:rFonts w:ascii="Arial" w:hAnsi="Arial" w:cs="Arial"/>
        </w:rPr>
        <w:t>Curitiba: CRV, 2018. p. 320.</w:t>
      </w:r>
    </w:p>
    <w:p w14:paraId="4E036533" w14:textId="77777777" w:rsidR="002D2357" w:rsidRPr="002D2357" w:rsidRDefault="002D2357" w:rsidP="00DF53C5">
      <w:pPr>
        <w:pStyle w:val="EndNoteBibliography"/>
        <w:spacing w:after="0"/>
        <w:jc w:val="left"/>
        <w:rPr>
          <w:rFonts w:ascii="Arial" w:hAnsi="Arial" w:cs="Arial"/>
        </w:rPr>
      </w:pPr>
    </w:p>
    <w:p w14:paraId="734E252C" w14:textId="77777777" w:rsidR="002D2357" w:rsidRPr="002D2357" w:rsidRDefault="002D2357" w:rsidP="00DF53C5">
      <w:pPr>
        <w:pStyle w:val="EndNoteBibliography"/>
        <w:jc w:val="left"/>
        <w:rPr>
          <w:rFonts w:ascii="Arial" w:hAnsi="Arial" w:cs="Arial"/>
          <w:lang w:val="pt-BR"/>
        </w:rPr>
      </w:pPr>
      <w:r w:rsidRPr="002D2357">
        <w:rPr>
          <w:rFonts w:ascii="Arial" w:hAnsi="Arial" w:cs="Arial"/>
        </w:rPr>
        <w:t xml:space="preserve">MURRAY, J.; CERQUEIRA, D. R.; KAHN, T. Crime and violence in Brazil: Systematic review of time trends, prevalence rates and risk factors. </w:t>
      </w:r>
      <w:r w:rsidRPr="002D2357">
        <w:rPr>
          <w:rFonts w:ascii="Arial" w:hAnsi="Arial" w:cs="Arial"/>
          <w:b/>
          <w:lang w:val="pt-BR"/>
        </w:rPr>
        <w:t>Aggress Violent Behav</w:t>
      </w:r>
      <w:r w:rsidRPr="002D2357">
        <w:rPr>
          <w:rFonts w:ascii="Arial" w:hAnsi="Arial" w:cs="Arial"/>
          <w:lang w:val="pt-BR"/>
        </w:rPr>
        <w:t>, 18, n. 5, p. 471-483, Sep 2013.</w:t>
      </w:r>
    </w:p>
    <w:p w14:paraId="17F50C69" w14:textId="77777777" w:rsidR="002D2357" w:rsidRPr="002D2357" w:rsidRDefault="002D2357" w:rsidP="00DF53C5">
      <w:pPr>
        <w:pStyle w:val="EndNoteBibliography"/>
        <w:spacing w:after="0"/>
        <w:jc w:val="left"/>
        <w:rPr>
          <w:rFonts w:ascii="Arial" w:hAnsi="Arial" w:cs="Arial"/>
          <w:lang w:val="pt-BR"/>
        </w:rPr>
      </w:pPr>
    </w:p>
    <w:p w14:paraId="2EE9E2B3"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NADANOVSKY, P. O aumento no encarceramento e a redução nos homicídios em São Paulo, Brasil, entre 1996 e 2005. </w:t>
      </w:r>
      <w:r w:rsidRPr="002D2357">
        <w:rPr>
          <w:rFonts w:ascii="Arial" w:hAnsi="Arial" w:cs="Arial"/>
          <w:b/>
          <w:lang w:val="pt-BR"/>
        </w:rPr>
        <w:t>Cadernos de Saúde Pública</w:t>
      </w:r>
      <w:r w:rsidRPr="002D2357">
        <w:rPr>
          <w:rFonts w:ascii="Arial" w:hAnsi="Arial" w:cs="Arial"/>
          <w:lang w:val="pt-BR"/>
        </w:rPr>
        <w:t>, 25, p. 1859-1864, 2009.</w:t>
      </w:r>
    </w:p>
    <w:p w14:paraId="5DAABC9A" w14:textId="77777777" w:rsidR="002D2357" w:rsidRPr="002D2357" w:rsidRDefault="002D2357" w:rsidP="00DF53C5">
      <w:pPr>
        <w:pStyle w:val="EndNoteBibliography"/>
        <w:spacing w:after="0"/>
        <w:jc w:val="left"/>
        <w:rPr>
          <w:rFonts w:ascii="Arial" w:hAnsi="Arial" w:cs="Arial"/>
          <w:lang w:val="pt-BR"/>
        </w:rPr>
      </w:pPr>
    </w:p>
    <w:p w14:paraId="7A123609"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NATIONAL CANCER INSTITUTE. </w:t>
      </w:r>
      <w:r w:rsidRPr="002D2357">
        <w:rPr>
          <w:rFonts w:ascii="Arial" w:hAnsi="Arial" w:cs="Arial"/>
          <w:b/>
          <w:lang w:val="pt-BR"/>
        </w:rPr>
        <w:t>Joinpoint Regression Program, version 4.7.0</w:t>
      </w:r>
      <w:r w:rsidRPr="002D2357">
        <w:rPr>
          <w:rFonts w:ascii="Arial" w:hAnsi="Arial" w:cs="Arial"/>
          <w:lang w:val="pt-BR"/>
        </w:rPr>
        <w:t>.  2019. Disponível em: http://surveillance.cancer.gov/joinpoint/. Acesso em: April 2021.</w:t>
      </w:r>
    </w:p>
    <w:p w14:paraId="27AFEC29" w14:textId="77777777" w:rsidR="002D2357" w:rsidRPr="002D2357" w:rsidRDefault="002D2357" w:rsidP="00DF53C5">
      <w:pPr>
        <w:pStyle w:val="EndNoteBibliography"/>
        <w:spacing w:after="0"/>
        <w:jc w:val="left"/>
        <w:rPr>
          <w:rFonts w:ascii="Arial" w:hAnsi="Arial" w:cs="Arial"/>
          <w:lang w:val="pt-BR"/>
        </w:rPr>
      </w:pPr>
    </w:p>
    <w:p w14:paraId="2303A229" w14:textId="77777777" w:rsidR="002D2357" w:rsidRPr="002D2357" w:rsidRDefault="002D2357" w:rsidP="00DF53C5">
      <w:pPr>
        <w:pStyle w:val="EndNoteBibliography"/>
        <w:jc w:val="left"/>
        <w:rPr>
          <w:rFonts w:ascii="Arial" w:hAnsi="Arial" w:cs="Arial"/>
        </w:rPr>
      </w:pPr>
      <w:r w:rsidRPr="00485B68">
        <w:rPr>
          <w:rFonts w:ascii="Arial" w:hAnsi="Arial" w:cs="Arial"/>
          <w:lang w:val="en-GB"/>
        </w:rPr>
        <w:t xml:space="preserve">OLIVEIRA, A. L. S.; LUNA, C. F.; SILVA, M. [Homicides in Brazil in the last decade: an integrative review]. </w:t>
      </w:r>
      <w:r w:rsidRPr="002D2357">
        <w:rPr>
          <w:rFonts w:ascii="Arial" w:hAnsi="Arial" w:cs="Arial"/>
          <w:b/>
        </w:rPr>
        <w:t>Cien Saude Colet</w:t>
      </w:r>
      <w:r w:rsidRPr="002D2357">
        <w:rPr>
          <w:rFonts w:ascii="Arial" w:hAnsi="Arial" w:cs="Arial"/>
        </w:rPr>
        <w:t>, 25, n. 5, p. 1925-1934, May 2020.</w:t>
      </w:r>
    </w:p>
    <w:p w14:paraId="5D70BA63" w14:textId="77777777" w:rsidR="002D2357" w:rsidRPr="002D2357" w:rsidRDefault="002D2357" w:rsidP="00DF53C5">
      <w:pPr>
        <w:pStyle w:val="EndNoteBibliography"/>
        <w:spacing w:after="0"/>
        <w:jc w:val="left"/>
        <w:rPr>
          <w:rFonts w:ascii="Arial" w:hAnsi="Arial" w:cs="Arial"/>
        </w:rPr>
      </w:pPr>
    </w:p>
    <w:p w14:paraId="48AB4A58" w14:textId="77777777" w:rsidR="002D2357" w:rsidRPr="002D2357" w:rsidRDefault="002D2357" w:rsidP="00DF53C5">
      <w:pPr>
        <w:pStyle w:val="EndNoteBibliography"/>
        <w:jc w:val="left"/>
        <w:rPr>
          <w:rFonts w:ascii="Arial" w:hAnsi="Arial" w:cs="Arial"/>
        </w:rPr>
      </w:pPr>
      <w:r w:rsidRPr="002D2357">
        <w:rPr>
          <w:rFonts w:ascii="Arial" w:hAnsi="Arial" w:cs="Arial"/>
        </w:rPr>
        <w:lastRenderedPageBreak/>
        <w:t xml:space="preserve">PEREIRA, D. V. S.; MOTA, C. M. M.; ANDRESEN, M. A. The Homicide Drop in Recife, Brazil: A Study of Crime Concentrations and Spatial Patterns. </w:t>
      </w:r>
      <w:r w:rsidRPr="002D2357">
        <w:rPr>
          <w:rFonts w:ascii="Arial" w:hAnsi="Arial" w:cs="Arial"/>
          <w:b/>
        </w:rPr>
        <w:t>Homicide Studies</w:t>
      </w:r>
      <w:r w:rsidRPr="002D2357">
        <w:rPr>
          <w:rFonts w:ascii="Arial" w:hAnsi="Arial" w:cs="Arial"/>
        </w:rPr>
        <w:t>, 21, n. 1, p. 21-38, 2017.</w:t>
      </w:r>
    </w:p>
    <w:p w14:paraId="0DED7528" w14:textId="77777777" w:rsidR="002D2357" w:rsidRPr="002D2357" w:rsidRDefault="002D2357" w:rsidP="00DF53C5">
      <w:pPr>
        <w:pStyle w:val="EndNoteBibliography"/>
        <w:jc w:val="left"/>
        <w:rPr>
          <w:rFonts w:ascii="Arial" w:hAnsi="Arial" w:cs="Arial"/>
          <w:lang w:val="pt-BR"/>
        </w:rPr>
      </w:pPr>
      <w:r w:rsidRPr="002D2357">
        <w:rPr>
          <w:rFonts w:ascii="Arial" w:hAnsi="Arial" w:cs="Arial"/>
        </w:rPr>
        <w:t>PERES, M. F.; VICENTIN, D.; NERY, M. B.; DE LIMA, R. S.</w:t>
      </w:r>
      <w:r w:rsidRPr="002D2357">
        <w:rPr>
          <w:rFonts w:ascii="Arial" w:hAnsi="Arial" w:cs="Arial"/>
          <w:i/>
        </w:rPr>
        <w:t xml:space="preserve"> et al.</w:t>
      </w:r>
      <w:r w:rsidRPr="002D2357">
        <w:rPr>
          <w:rFonts w:ascii="Arial" w:hAnsi="Arial" w:cs="Arial"/>
        </w:rPr>
        <w:t xml:space="preserve"> [Decline in homicide rates in Sao Paulo, Brasil: a descriptive analysis]. </w:t>
      </w:r>
      <w:r w:rsidRPr="002D2357">
        <w:rPr>
          <w:rFonts w:ascii="Arial" w:hAnsi="Arial" w:cs="Arial"/>
          <w:b/>
          <w:lang w:val="pt-BR"/>
        </w:rPr>
        <w:t>Rev Panam Salud Publica</w:t>
      </w:r>
      <w:r w:rsidRPr="002D2357">
        <w:rPr>
          <w:rFonts w:ascii="Arial" w:hAnsi="Arial" w:cs="Arial"/>
          <w:lang w:val="pt-BR"/>
        </w:rPr>
        <w:t>, 29, n. 1, p. 17-26, Jan 2011.</w:t>
      </w:r>
    </w:p>
    <w:p w14:paraId="4001B1D0" w14:textId="77777777" w:rsidR="002D2357" w:rsidRPr="002D2357" w:rsidRDefault="002D2357" w:rsidP="00DF53C5">
      <w:pPr>
        <w:pStyle w:val="EndNoteBibliography"/>
        <w:jc w:val="left"/>
        <w:rPr>
          <w:rFonts w:ascii="Arial" w:hAnsi="Arial" w:cs="Arial"/>
        </w:rPr>
      </w:pPr>
      <w:r w:rsidRPr="002D2357">
        <w:rPr>
          <w:rFonts w:ascii="Arial" w:hAnsi="Arial" w:cs="Arial"/>
          <w:lang w:val="pt-BR"/>
        </w:rPr>
        <w:t>PERES, M. F. T.; CARDIA, N.; MESQUITA NETO, P. d.; SANTOS, P. C. d.</w:t>
      </w:r>
      <w:r w:rsidRPr="002D2357">
        <w:rPr>
          <w:rFonts w:ascii="Arial" w:hAnsi="Arial" w:cs="Arial"/>
          <w:i/>
          <w:lang w:val="pt-BR"/>
        </w:rPr>
        <w:t xml:space="preserve"> et al.</w:t>
      </w:r>
      <w:r w:rsidRPr="002D2357">
        <w:rPr>
          <w:rFonts w:ascii="Arial" w:hAnsi="Arial" w:cs="Arial"/>
          <w:lang w:val="pt-BR"/>
        </w:rPr>
        <w:t xml:space="preserve"> Homicídios, desenvolvimento socioeconômico e violência policial no Município de São Paulo, Brasil. </w:t>
      </w:r>
      <w:r w:rsidRPr="002D2357">
        <w:rPr>
          <w:rFonts w:ascii="Arial" w:hAnsi="Arial" w:cs="Arial"/>
          <w:b/>
        </w:rPr>
        <w:t>Revista Panamericana de Salud Pública</w:t>
      </w:r>
      <w:r w:rsidRPr="002D2357">
        <w:rPr>
          <w:rFonts w:ascii="Arial" w:hAnsi="Arial" w:cs="Arial"/>
        </w:rPr>
        <w:t>, 23, p. 268-276, 2008.</w:t>
      </w:r>
    </w:p>
    <w:p w14:paraId="1493B72D" w14:textId="77777777" w:rsidR="002D2357" w:rsidRPr="002D2357" w:rsidRDefault="002D2357" w:rsidP="00DF53C5">
      <w:pPr>
        <w:pStyle w:val="EndNoteBibliography"/>
        <w:jc w:val="left"/>
        <w:rPr>
          <w:rFonts w:ascii="Arial" w:hAnsi="Arial" w:cs="Arial"/>
          <w:lang w:val="pt-BR"/>
        </w:rPr>
      </w:pPr>
      <w:r w:rsidRPr="002D2357">
        <w:rPr>
          <w:rFonts w:ascii="Arial" w:hAnsi="Arial" w:cs="Arial"/>
        </w:rPr>
        <w:t xml:space="preserve">PERES, M. F. T.; NIVETTE, A. Social disorganization and homicide mortality rate trajectories in Brazil between 1991 and 2010. </w:t>
      </w:r>
      <w:r w:rsidRPr="002D2357">
        <w:rPr>
          <w:rFonts w:ascii="Arial" w:hAnsi="Arial" w:cs="Arial"/>
          <w:b/>
          <w:lang w:val="pt-BR"/>
        </w:rPr>
        <w:t>Soc Sci Med</w:t>
      </w:r>
      <w:r w:rsidRPr="002D2357">
        <w:rPr>
          <w:rFonts w:ascii="Arial" w:hAnsi="Arial" w:cs="Arial"/>
          <w:lang w:val="pt-BR"/>
        </w:rPr>
        <w:t>, 190, p. 92-100, Oct 2017.</w:t>
      </w:r>
    </w:p>
    <w:p w14:paraId="15A78ED7" w14:textId="77777777" w:rsidR="002D2357" w:rsidRPr="002D2357" w:rsidRDefault="002D2357" w:rsidP="00DF53C5">
      <w:pPr>
        <w:pStyle w:val="EndNoteBibliography"/>
        <w:jc w:val="left"/>
        <w:rPr>
          <w:rFonts w:ascii="Arial" w:hAnsi="Arial" w:cs="Arial"/>
        </w:rPr>
      </w:pPr>
      <w:r w:rsidRPr="002D2357">
        <w:rPr>
          <w:rFonts w:ascii="Arial" w:hAnsi="Arial" w:cs="Arial"/>
          <w:lang w:val="pt-BR"/>
        </w:rPr>
        <w:t>REICHENHEIM, M. E.; DE SOUZA, E. R.; MORAES, C. L.; DE MELLO JORGE, M. H.</w:t>
      </w:r>
      <w:r w:rsidRPr="002D2357">
        <w:rPr>
          <w:rFonts w:ascii="Arial" w:hAnsi="Arial" w:cs="Arial"/>
          <w:i/>
          <w:lang w:val="pt-BR"/>
        </w:rPr>
        <w:t xml:space="preserve"> et al.</w:t>
      </w:r>
      <w:r w:rsidRPr="002D2357">
        <w:rPr>
          <w:rFonts w:ascii="Arial" w:hAnsi="Arial" w:cs="Arial"/>
          <w:lang w:val="pt-BR"/>
        </w:rPr>
        <w:t xml:space="preserve"> </w:t>
      </w:r>
      <w:r w:rsidRPr="002D2357">
        <w:rPr>
          <w:rFonts w:ascii="Arial" w:hAnsi="Arial" w:cs="Arial"/>
        </w:rPr>
        <w:t xml:space="preserve">Violence and injuries in Brazil: the effect, progress made, and challenges ahead. </w:t>
      </w:r>
      <w:r w:rsidRPr="002D2357">
        <w:rPr>
          <w:rFonts w:ascii="Arial" w:hAnsi="Arial" w:cs="Arial"/>
          <w:b/>
        </w:rPr>
        <w:t>Lancet</w:t>
      </w:r>
      <w:r w:rsidRPr="002D2357">
        <w:rPr>
          <w:rFonts w:ascii="Arial" w:hAnsi="Arial" w:cs="Arial"/>
        </w:rPr>
        <w:t>, 377, n. 9781, p. 1962-1975, Jun 4 2011.</w:t>
      </w:r>
    </w:p>
    <w:p w14:paraId="4E9538F4" w14:textId="77777777" w:rsidR="002D2357" w:rsidRPr="002D2357" w:rsidRDefault="002D2357" w:rsidP="00DF53C5">
      <w:pPr>
        <w:pStyle w:val="EndNoteBibliography"/>
        <w:jc w:val="left"/>
        <w:rPr>
          <w:rFonts w:ascii="Arial" w:hAnsi="Arial" w:cs="Arial"/>
          <w:lang w:val="pt-BR"/>
        </w:rPr>
      </w:pPr>
      <w:r w:rsidRPr="002D2357">
        <w:rPr>
          <w:rFonts w:ascii="Arial" w:hAnsi="Arial" w:cs="Arial"/>
        </w:rPr>
        <w:t xml:space="preserve">SOARES FILHO, A. M.; DUARTE, E. C.; MERCHAN-HAMANN, E. [Trend and distribution of the homicide mortality rate in accordance with the size of the population of Brazilian municipalities - 2000 and 2015]. </w:t>
      </w:r>
      <w:r w:rsidRPr="002D2357">
        <w:rPr>
          <w:rFonts w:ascii="Arial" w:hAnsi="Arial" w:cs="Arial"/>
          <w:b/>
          <w:lang w:val="pt-BR"/>
        </w:rPr>
        <w:t>Cien Saude Colet</w:t>
      </w:r>
      <w:r w:rsidRPr="002D2357">
        <w:rPr>
          <w:rFonts w:ascii="Arial" w:hAnsi="Arial" w:cs="Arial"/>
          <w:lang w:val="pt-BR"/>
        </w:rPr>
        <w:t>, 25, n. 3, p. 1147-1156, Mar 2020.</w:t>
      </w:r>
    </w:p>
    <w:p w14:paraId="79FEBB71"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SOUZA, M. d.; BERNARDI, L. d. S.; SANTOS, J. A. Sobre  ser caboclo : as vozes de caboclos do Oeste catarinense. </w:t>
      </w:r>
      <w:r w:rsidRPr="002D2357">
        <w:rPr>
          <w:rFonts w:ascii="Arial" w:hAnsi="Arial" w:cs="Arial"/>
          <w:b/>
          <w:lang w:val="pt-BR"/>
        </w:rPr>
        <w:t>Revista do Instituto de Estudos Brasileiros</w:t>
      </w:r>
      <w:r w:rsidRPr="002D2357">
        <w:rPr>
          <w:rFonts w:ascii="Arial" w:hAnsi="Arial" w:cs="Arial"/>
          <w:lang w:val="pt-BR"/>
        </w:rPr>
        <w:t>, p. 88-107, 2020.</w:t>
      </w:r>
    </w:p>
    <w:p w14:paraId="464F0077" w14:textId="77777777" w:rsidR="002D2357" w:rsidRPr="002D2357" w:rsidRDefault="002D2357" w:rsidP="00DF53C5">
      <w:pPr>
        <w:pStyle w:val="EndNoteBibliography"/>
        <w:jc w:val="left"/>
        <w:rPr>
          <w:rFonts w:ascii="Arial" w:hAnsi="Arial" w:cs="Arial"/>
          <w:lang w:val="pt-BR"/>
        </w:rPr>
      </w:pPr>
      <w:r w:rsidRPr="00485B68">
        <w:rPr>
          <w:rFonts w:ascii="Arial" w:hAnsi="Arial" w:cs="Arial"/>
          <w:lang w:val="pt-BR"/>
        </w:rPr>
        <w:t xml:space="preserve">THE GLOBAL BURDEN OF DISEASE INJURY COLLABORATORS. </w:t>
      </w:r>
      <w:r w:rsidRPr="002D2357">
        <w:rPr>
          <w:rFonts w:ascii="Arial" w:hAnsi="Arial" w:cs="Arial"/>
          <w:lang w:val="pt-BR"/>
        </w:rPr>
        <w:t xml:space="preserve">Global Mortality From Firearms, 1990-2016. </w:t>
      </w:r>
      <w:r w:rsidRPr="002D2357">
        <w:rPr>
          <w:rFonts w:ascii="Arial" w:hAnsi="Arial" w:cs="Arial"/>
          <w:b/>
          <w:lang w:val="pt-BR"/>
        </w:rPr>
        <w:t>JAMA</w:t>
      </w:r>
      <w:r w:rsidRPr="002D2357">
        <w:rPr>
          <w:rFonts w:ascii="Arial" w:hAnsi="Arial" w:cs="Arial"/>
          <w:lang w:val="pt-BR"/>
        </w:rPr>
        <w:t>, 320, n. 8, p. 792-814, 2018.</w:t>
      </w:r>
    </w:p>
    <w:p w14:paraId="0872CB85" w14:textId="77777777" w:rsidR="002D2357" w:rsidRPr="00485B68" w:rsidRDefault="002D2357" w:rsidP="00DF53C5">
      <w:pPr>
        <w:pStyle w:val="EndNoteBibliography"/>
        <w:jc w:val="left"/>
        <w:rPr>
          <w:rFonts w:ascii="Arial" w:hAnsi="Arial" w:cs="Arial"/>
        </w:rPr>
      </w:pPr>
      <w:r w:rsidRPr="002D2357">
        <w:rPr>
          <w:rFonts w:ascii="Arial" w:hAnsi="Arial" w:cs="Arial"/>
        </w:rPr>
        <w:t xml:space="preserve">UNODC. </w:t>
      </w:r>
      <w:r w:rsidRPr="002D2357">
        <w:rPr>
          <w:rFonts w:ascii="Arial" w:hAnsi="Arial" w:cs="Arial"/>
          <w:b/>
        </w:rPr>
        <w:t>United Nations Office on Drugs and Crime. Global Study on Homicide 2019</w:t>
      </w:r>
      <w:r w:rsidRPr="002D2357">
        <w:rPr>
          <w:rFonts w:ascii="Arial" w:hAnsi="Arial" w:cs="Arial"/>
        </w:rPr>
        <w:t xml:space="preserve">.  2019. </w:t>
      </w:r>
      <w:r w:rsidRPr="00485B68">
        <w:rPr>
          <w:rFonts w:ascii="Arial" w:hAnsi="Arial" w:cs="Arial"/>
        </w:rPr>
        <w:t>Disponível em: https://www.unodc.org/unodc/en/data-and-analysis/global-study-on-homicide.html.</w:t>
      </w:r>
    </w:p>
    <w:p w14:paraId="2414871F" w14:textId="77777777" w:rsidR="002D2357" w:rsidRPr="00485B68" w:rsidRDefault="002D2357" w:rsidP="00DF53C5">
      <w:pPr>
        <w:pStyle w:val="EndNoteBibliography"/>
        <w:jc w:val="left"/>
        <w:rPr>
          <w:rFonts w:ascii="Arial" w:hAnsi="Arial" w:cs="Arial"/>
          <w:lang w:val="pt-BR"/>
        </w:rPr>
      </w:pPr>
      <w:r w:rsidRPr="002D2357">
        <w:rPr>
          <w:rFonts w:ascii="Arial" w:hAnsi="Arial" w:cs="Arial"/>
        </w:rPr>
        <w:t xml:space="preserve">VALENÇA, A. M.; DE MORAES, T. M. [Relationship between homicide and mental disorders]. </w:t>
      </w:r>
      <w:r w:rsidRPr="00485B68">
        <w:rPr>
          <w:rFonts w:ascii="Arial" w:hAnsi="Arial" w:cs="Arial"/>
          <w:b/>
          <w:lang w:val="pt-BR"/>
        </w:rPr>
        <w:t>Braz J Psychiatry</w:t>
      </w:r>
      <w:r w:rsidRPr="00485B68">
        <w:rPr>
          <w:rFonts w:ascii="Arial" w:hAnsi="Arial" w:cs="Arial"/>
          <w:lang w:val="pt-BR"/>
        </w:rPr>
        <w:t>, 28 Suppl 2, p. S62-68, Oct 2006.</w:t>
      </w:r>
    </w:p>
    <w:p w14:paraId="3891385C" w14:textId="77777777" w:rsidR="002D2357" w:rsidRPr="002D2357" w:rsidRDefault="002D2357" w:rsidP="00DF53C5">
      <w:pPr>
        <w:pStyle w:val="EndNoteBibliography"/>
        <w:jc w:val="left"/>
        <w:rPr>
          <w:rFonts w:ascii="Arial" w:hAnsi="Arial" w:cs="Arial"/>
          <w:lang w:val="pt-BR"/>
        </w:rPr>
      </w:pPr>
      <w:r w:rsidRPr="002D2357">
        <w:rPr>
          <w:rFonts w:ascii="Arial" w:hAnsi="Arial" w:cs="Arial"/>
          <w:lang w:val="pt-BR"/>
        </w:rPr>
        <w:t xml:space="preserve">WAISELFISZ, J. J. </w:t>
      </w:r>
      <w:r w:rsidRPr="002D2357">
        <w:rPr>
          <w:rFonts w:ascii="Arial" w:hAnsi="Arial" w:cs="Arial"/>
          <w:b/>
          <w:lang w:val="pt-BR"/>
        </w:rPr>
        <w:t xml:space="preserve">Mapa da violência 2011 : os jovens no Brasil </w:t>
      </w:r>
      <w:r w:rsidRPr="002D2357">
        <w:rPr>
          <w:rFonts w:ascii="Arial" w:hAnsi="Arial" w:cs="Arial"/>
          <w:lang w:val="pt-BR"/>
        </w:rPr>
        <w:t>Brasília,  2011. Disponível em: http://www.mapadaviolencia.net.br/pdf2011/MapaViolencia2011.pdf.</w:t>
      </w:r>
    </w:p>
    <w:p w14:paraId="79049940" w14:textId="72C8BAF3" w:rsidR="00907197" w:rsidRPr="00485B68" w:rsidRDefault="002D2357" w:rsidP="00DF53C5">
      <w:pPr>
        <w:pStyle w:val="EndNoteBibliography"/>
        <w:jc w:val="left"/>
        <w:rPr>
          <w:rFonts w:ascii="Arial" w:hAnsi="Arial" w:cs="Arial"/>
        </w:rPr>
      </w:pPr>
      <w:r w:rsidRPr="002D2357">
        <w:rPr>
          <w:rFonts w:ascii="Arial" w:hAnsi="Arial" w:cs="Arial"/>
        </w:rPr>
        <w:t xml:space="preserve">WHO. </w:t>
      </w:r>
      <w:r w:rsidRPr="002D2357">
        <w:rPr>
          <w:rFonts w:ascii="Arial" w:hAnsi="Arial" w:cs="Arial"/>
          <w:b/>
        </w:rPr>
        <w:t>World Health Organization. World Health Data Platform. The Global Health Observatory</w:t>
      </w:r>
      <w:r w:rsidRPr="002D2357">
        <w:rPr>
          <w:rFonts w:ascii="Arial" w:hAnsi="Arial" w:cs="Arial"/>
        </w:rPr>
        <w:t xml:space="preserve">.  2019. Disponível em: https://www.who.int/data/gho </w:t>
      </w:r>
    </w:p>
    <w:sectPr w:rsidR="00907197" w:rsidRPr="00485B68" w:rsidSect="00D424A4">
      <w:headerReference w:type="default" r:id="rId15"/>
      <w:footerReference w:type="default" r:id="rId16"/>
      <w:pgSz w:w="11906" w:h="16838"/>
      <w:pgMar w:top="1417" w:right="1701" w:bottom="1417" w:left="1701" w:header="708" w:footer="708" w:gutter="0"/>
      <w:pgNumType w:start="3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C31B2" w14:textId="77777777" w:rsidR="00355949" w:rsidRDefault="00355949" w:rsidP="002D2357">
      <w:pPr>
        <w:spacing w:after="0" w:line="240" w:lineRule="auto"/>
      </w:pPr>
      <w:r>
        <w:separator/>
      </w:r>
    </w:p>
  </w:endnote>
  <w:endnote w:type="continuationSeparator" w:id="0">
    <w:p w14:paraId="47FABEA9" w14:textId="77777777" w:rsidR="00355949" w:rsidRDefault="00355949" w:rsidP="002D2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845886"/>
      <w:docPartObj>
        <w:docPartGallery w:val="Page Numbers (Bottom of Page)"/>
        <w:docPartUnique/>
      </w:docPartObj>
    </w:sdtPr>
    <w:sdtContent>
      <w:p w14:paraId="76868684" w14:textId="2A6D19FE" w:rsidR="00D424A4" w:rsidRDefault="00D424A4">
        <w:pPr>
          <w:pStyle w:val="Rodap"/>
          <w:jc w:val="right"/>
        </w:pPr>
        <w:r>
          <w:fldChar w:fldCharType="begin"/>
        </w:r>
        <w:r>
          <w:instrText>PAGE   \* MERGEFORMAT</w:instrText>
        </w:r>
        <w:r>
          <w:fldChar w:fldCharType="separate"/>
        </w:r>
        <w:r>
          <w:t>2</w:t>
        </w:r>
        <w:r>
          <w:fldChar w:fldCharType="end"/>
        </w:r>
      </w:p>
    </w:sdtContent>
  </w:sdt>
  <w:p w14:paraId="3AC07253" w14:textId="77777777" w:rsidR="00D424A4" w:rsidRDefault="00D424A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9859E" w14:textId="77777777" w:rsidR="00355949" w:rsidRDefault="00355949" w:rsidP="002D2357">
      <w:pPr>
        <w:spacing w:after="0" w:line="240" w:lineRule="auto"/>
      </w:pPr>
      <w:r>
        <w:separator/>
      </w:r>
    </w:p>
  </w:footnote>
  <w:footnote w:type="continuationSeparator" w:id="0">
    <w:p w14:paraId="526B868C" w14:textId="77777777" w:rsidR="00355949" w:rsidRDefault="00355949" w:rsidP="002D2357">
      <w:pPr>
        <w:spacing w:after="0" w:line="240" w:lineRule="auto"/>
      </w:pPr>
      <w:r>
        <w:continuationSeparator/>
      </w:r>
    </w:p>
  </w:footnote>
  <w:footnote w:id="1">
    <w:p w14:paraId="346AD37E" w14:textId="77777777" w:rsidR="002D2357" w:rsidRDefault="002D2357">
      <w:pPr>
        <w:pStyle w:val="Textodenotaderodap"/>
      </w:pPr>
      <w:r>
        <w:rPr>
          <w:rStyle w:val="Refdenotaderodap"/>
        </w:rPr>
        <w:footnoteRef/>
      </w:r>
      <w:r>
        <w:t xml:space="preserve"> Docente do curso de Geografia, ICN / UNIFAL-MG; </w:t>
      </w:r>
      <w:hyperlink r:id="rId1" w:history="1">
        <w:r w:rsidRPr="003D014E">
          <w:rPr>
            <w:rStyle w:val="Hyperlink"/>
          </w:rPr>
          <w:t>daniel.bando@unifal-mg.edu.br</w:t>
        </w:r>
      </w:hyperlink>
      <w:r>
        <w:t xml:space="preserve"> </w:t>
      </w:r>
    </w:p>
  </w:footnote>
  <w:footnote w:id="2">
    <w:p w14:paraId="01404B17" w14:textId="77777777" w:rsidR="002D2357" w:rsidRDefault="002D2357">
      <w:pPr>
        <w:pStyle w:val="Textodenotaderodap"/>
      </w:pPr>
      <w:r>
        <w:rPr>
          <w:rStyle w:val="Refdenotaderodap"/>
        </w:rPr>
        <w:footnoteRef/>
      </w:r>
      <w:r>
        <w:t xml:space="preserve"> Estudante de graduação em Geografia, ICN / UNIFAL-MG; </w:t>
      </w:r>
      <w:hyperlink r:id="rId2" w:history="1">
        <w:r w:rsidRPr="00FA4A44">
          <w:rPr>
            <w:rStyle w:val="Hyperlink"/>
          </w:rPr>
          <w:t>marianarangel01@gmail.com</w:t>
        </w:r>
      </w:hyperlink>
      <w:r>
        <w:t xml:space="preserve"> </w:t>
      </w:r>
    </w:p>
  </w:footnote>
  <w:footnote w:id="3">
    <w:p w14:paraId="1A8D5B51" w14:textId="77777777" w:rsidR="002D2357" w:rsidRPr="006E54C5" w:rsidRDefault="002D2357" w:rsidP="006E54C5">
      <w:pPr>
        <w:pStyle w:val="Textodenotaderodap"/>
      </w:pPr>
      <w:r>
        <w:rPr>
          <w:rStyle w:val="Refdenotaderodap"/>
        </w:rPr>
        <w:footnoteRef/>
      </w:r>
      <w:r>
        <w:t xml:space="preserve"> Docente da Universidade Federal da Fronteira Sul -</w:t>
      </w:r>
      <w:r w:rsidRPr="00AC6EBF">
        <w:t xml:space="preserve"> UFFS /Chapecó-SC; </w:t>
      </w:r>
      <w:hyperlink r:id="rId3" w:history="1">
        <w:r w:rsidRPr="00D60FA9">
          <w:rPr>
            <w:rStyle w:val="Hyperlink"/>
          </w:rPr>
          <w:t>jane.friestino@uffs.edu.br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0226" w14:textId="370C8969" w:rsidR="00A26750" w:rsidRDefault="00485B68">
    <w:pPr>
      <w:pStyle w:val="Cabealho"/>
    </w:pPr>
    <w:r>
      <w:rPr>
        <w:noProof/>
      </w:rPr>
      <w:drawing>
        <wp:inline distT="0" distB="0" distL="0" distR="0" wp14:anchorId="0E7715CB" wp14:editId="1EEE4CFF">
          <wp:extent cx="5400040" cy="122110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221105"/>
                  </a:xfrm>
                  <a:prstGeom prst="rect">
                    <a:avLst/>
                  </a:prstGeom>
                  <a:noFill/>
                  <a:ln>
                    <a:noFill/>
                  </a:ln>
                </pic:spPr>
              </pic:pic>
            </a:graphicData>
          </a:graphic>
        </wp:inline>
      </w:drawing>
    </w:r>
  </w:p>
  <w:p w14:paraId="77005283" w14:textId="276FF284" w:rsidR="00485B68" w:rsidRDefault="001B036F">
    <w:pPr>
      <w:pStyle w:val="Cabealho"/>
      <w:rPr>
        <w:rFonts w:ascii="Arial" w:hAnsi="Arial" w:cs="Arial"/>
        <w:b/>
        <w:bCs/>
        <w:color w:val="000000"/>
        <w:sz w:val="16"/>
        <w:szCs w:val="16"/>
      </w:rPr>
    </w:pPr>
    <w:r>
      <w:rPr>
        <w:rFonts w:cs="Arial"/>
        <w:color w:val="000000"/>
        <w:sz w:val="16"/>
        <w:szCs w:val="16"/>
      </w:rPr>
      <w:t>BANDO, D.H.; GARCIA, M.R. FRIESTINO, J.K.O.</w:t>
    </w:r>
    <w:r>
      <w:rPr>
        <w:rFonts w:cs="Arial"/>
        <w:color w:val="000000"/>
        <w:sz w:val="16"/>
        <w:szCs w:val="16"/>
      </w:rPr>
      <w:t xml:space="preserve"> </w:t>
    </w:r>
    <w:r>
      <w:rPr>
        <w:rFonts w:cs="Arial"/>
        <w:b/>
        <w:bCs/>
        <w:color w:val="000000"/>
        <w:sz w:val="16"/>
        <w:szCs w:val="16"/>
      </w:rPr>
      <w:t>Tendência</w:t>
    </w:r>
    <w:r w:rsidR="00461048">
      <w:rPr>
        <w:rFonts w:cs="Arial"/>
        <w:b/>
        <w:bCs/>
        <w:color w:val="000000"/>
        <w:sz w:val="16"/>
        <w:szCs w:val="16"/>
      </w:rPr>
      <w:t xml:space="preserve"> das taxas de homicídio em Santa Catarina por microrregiões: </w:t>
    </w:r>
    <w:r w:rsidR="00461048">
      <w:rPr>
        <w:rFonts w:cs="Arial"/>
        <w:color w:val="000000"/>
        <w:sz w:val="16"/>
        <w:szCs w:val="16"/>
      </w:rPr>
      <w:t>1996 a 2019</w:t>
    </w:r>
    <w:r>
      <w:rPr>
        <w:rFonts w:ascii="Arial" w:hAnsi="Arial" w:cs="Arial"/>
        <w:color w:val="000000"/>
        <w:sz w:val="16"/>
        <w:szCs w:val="16"/>
      </w:rPr>
      <w:t>. In. Simpósio Nacional de Geografia da Saúde: dimensões geográficas dos impactos e desafios das pandemias. X., 2021, Campina Grande. Anais [...]. Campina Grande: UFCG, 2021. p.</w:t>
    </w:r>
    <w:r w:rsidR="00461048">
      <w:rPr>
        <w:rFonts w:cs="Arial"/>
        <w:color w:val="000000"/>
        <w:sz w:val="16"/>
        <w:szCs w:val="16"/>
      </w:rPr>
      <w:t>354</w:t>
    </w:r>
    <w:r w:rsidR="00D424A4">
      <w:rPr>
        <w:rFonts w:cs="Arial"/>
        <w:color w:val="000000"/>
        <w:sz w:val="16"/>
        <w:szCs w:val="16"/>
      </w:rPr>
      <w:t>-369</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12BBF2EF" w14:textId="77777777" w:rsidR="00DF53C5" w:rsidRDefault="00DF53C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83249"/>
    <w:multiLevelType w:val="hybridMultilevel"/>
    <w:tmpl w:val="628E8130"/>
    <w:lvl w:ilvl="0" w:tplc="E3E6910E">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D2357"/>
    <w:rsid w:val="00165291"/>
    <w:rsid w:val="001B036F"/>
    <w:rsid w:val="002D2357"/>
    <w:rsid w:val="002F12FC"/>
    <w:rsid w:val="00355949"/>
    <w:rsid w:val="00461048"/>
    <w:rsid w:val="00485B68"/>
    <w:rsid w:val="007B1AE2"/>
    <w:rsid w:val="00907197"/>
    <w:rsid w:val="00D424A4"/>
    <w:rsid w:val="00DF53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18AB"/>
  <w15:chartTrackingRefBased/>
  <w15:docId w15:val="{C8959667-591A-4D29-B4A8-D9A33EC95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57"/>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D23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D2357"/>
  </w:style>
  <w:style w:type="paragraph" w:styleId="Rodap">
    <w:name w:val="footer"/>
    <w:basedOn w:val="Normal"/>
    <w:link w:val="RodapChar"/>
    <w:uiPriority w:val="99"/>
    <w:unhideWhenUsed/>
    <w:rsid w:val="002D2357"/>
    <w:pPr>
      <w:tabs>
        <w:tab w:val="center" w:pos="4252"/>
        <w:tab w:val="right" w:pos="8504"/>
      </w:tabs>
      <w:spacing w:after="0" w:line="240" w:lineRule="auto"/>
    </w:pPr>
  </w:style>
  <w:style w:type="character" w:customStyle="1" w:styleId="RodapChar">
    <w:name w:val="Rodapé Char"/>
    <w:basedOn w:val="Fontepargpadro"/>
    <w:link w:val="Rodap"/>
    <w:uiPriority w:val="99"/>
    <w:rsid w:val="002D2357"/>
  </w:style>
  <w:style w:type="paragraph" w:styleId="Textodenotaderodap">
    <w:name w:val="footnote text"/>
    <w:basedOn w:val="Normal"/>
    <w:link w:val="TextodenotaderodapChar"/>
    <w:semiHidden/>
    <w:unhideWhenUsed/>
    <w:rsid w:val="002D2357"/>
    <w:pPr>
      <w:spacing w:after="0" w:line="240" w:lineRule="auto"/>
    </w:pPr>
    <w:rPr>
      <w:sz w:val="20"/>
      <w:szCs w:val="20"/>
    </w:rPr>
  </w:style>
  <w:style w:type="character" w:customStyle="1" w:styleId="TextodenotaderodapChar">
    <w:name w:val="Texto de nota de rodapé Char"/>
    <w:basedOn w:val="Fontepargpadro"/>
    <w:link w:val="Textodenotaderodap"/>
    <w:semiHidden/>
    <w:rsid w:val="002D2357"/>
    <w:rPr>
      <w:sz w:val="20"/>
      <w:szCs w:val="20"/>
    </w:rPr>
  </w:style>
  <w:style w:type="character" w:styleId="Refdenotaderodap">
    <w:name w:val="footnote reference"/>
    <w:basedOn w:val="Fontepargpadro"/>
    <w:semiHidden/>
    <w:unhideWhenUsed/>
    <w:rsid w:val="002D2357"/>
    <w:rPr>
      <w:vertAlign w:val="superscript"/>
    </w:rPr>
  </w:style>
  <w:style w:type="character" w:styleId="Hyperlink">
    <w:name w:val="Hyperlink"/>
    <w:basedOn w:val="Fontepargpadro"/>
    <w:uiPriority w:val="99"/>
    <w:unhideWhenUsed/>
    <w:rsid w:val="002D2357"/>
    <w:rPr>
      <w:color w:val="0563C1" w:themeColor="hyperlink"/>
      <w:u w:val="single"/>
    </w:rPr>
  </w:style>
  <w:style w:type="paragraph" w:styleId="Textodebalo">
    <w:name w:val="Balloon Text"/>
    <w:basedOn w:val="Normal"/>
    <w:link w:val="TextodebaloChar"/>
    <w:uiPriority w:val="99"/>
    <w:semiHidden/>
    <w:unhideWhenUsed/>
    <w:rsid w:val="002D23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D2357"/>
    <w:rPr>
      <w:rFonts w:ascii="Tahoma" w:hAnsi="Tahoma" w:cs="Tahoma"/>
      <w:sz w:val="16"/>
      <w:szCs w:val="16"/>
    </w:rPr>
  </w:style>
  <w:style w:type="paragraph" w:styleId="Recuodecorpodetexto">
    <w:name w:val="Body Text Indent"/>
    <w:basedOn w:val="Normal"/>
    <w:link w:val="RecuodecorpodetextoChar"/>
    <w:semiHidden/>
    <w:rsid w:val="002D2357"/>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2D2357"/>
    <w:rPr>
      <w:rFonts w:ascii="Times New Roman" w:eastAsia="Times New Roman" w:hAnsi="Times New Roman" w:cs="Times New Roman"/>
      <w:sz w:val="24"/>
      <w:szCs w:val="24"/>
      <w:lang w:eastAsia="ar-SA"/>
    </w:rPr>
  </w:style>
  <w:style w:type="table" w:styleId="Tabelacomgrade">
    <w:name w:val="Table Grid"/>
    <w:basedOn w:val="Tabelanormal"/>
    <w:uiPriority w:val="59"/>
    <w:rsid w:val="002D2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D2357"/>
    <w:pPr>
      <w:ind w:left="720"/>
      <w:contextualSpacing/>
    </w:pPr>
  </w:style>
  <w:style w:type="character" w:customStyle="1" w:styleId="hps">
    <w:name w:val="hps"/>
    <w:basedOn w:val="Fontepargpadro"/>
    <w:rsid w:val="002D2357"/>
  </w:style>
  <w:style w:type="character" w:customStyle="1" w:styleId="MenoPendente1">
    <w:name w:val="Menção Pendente1"/>
    <w:basedOn w:val="Fontepargpadro"/>
    <w:uiPriority w:val="99"/>
    <w:semiHidden/>
    <w:unhideWhenUsed/>
    <w:rsid w:val="002D2357"/>
    <w:rPr>
      <w:color w:val="605E5C"/>
      <w:shd w:val="clear" w:color="auto" w:fill="E1DFDD"/>
    </w:rPr>
  </w:style>
  <w:style w:type="paragraph" w:styleId="NormalWeb">
    <w:name w:val="Normal (Web)"/>
    <w:basedOn w:val="Normal"/>
    <w:uiPriority w:val="99"/>
    <w:semiHidden/>
    <w:unhideWhenUsed/>
    <w:rsid w:val="002D2357"/>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customStyle="1" w:styleId="EndNoteBibliographyTitle">
    <w:name w:val="EndNote Bibliography Title"/>
    <w:basedOn w:val="Normal"/>
    <w:link w:val="EndNoteBibliographyTitleChar"/>
    <w:rsid w:val="002D2357"/>
    <w:pPr>
      <w:spacing w:after="0"/>
      <w:jc w:val="center"/>
    </w:pPr>
    <w:rPr>
      <w:rFonts w:ascii="Calibri" w:hAnsi="Calibri" w:cs="Calibri"/>
      <w:noProof/>
      <w:lang w:val="en-US"/>
    </w:rPr>
  </w:style>
  <w:style w:type="character" w:customStyle="1" w:styleId="EndNoteBibliographyTitleChar">
    <w:name w:val="EndNote Bibliography Title Char"/>
    <w:basedOn w:val="Fontepargpadro"/>
    <w:link w:val="EndNoteBibliographyTitle"/>
    <w:rsid w:val="002D2357"/>
    <w:rPr>
      <w:rFonts w:ascii="Calibri" w:hAnsi="Calibri" w:cs="Calibri"/>
      <w:noProof/>
      <w:lang w:val="en-US"/>
    </w:rPr>
  </w:style>
  <w:style w:type="paragraph" w:customStyle="1" w:styleId="EndNoteBibliography">
    <w:name w:val="EndNote Bibliography"/>
    <w:basedOn w:val="Normal"/>
    <w:link w:val="EndNoteBibliographyChar"/>
    <w:rsid w:val="002D2357"/>
    <w:pPr>
      <w:spacing w:line="240" w:lineRule="auto"/>
      <w:jc w:val="both"/>
    </w:pPr>
    <w:rPr>
      <w:rFonts w:ascii="Calibri" w:hAnsi="Calibri" w:cs="Calibri"/>
      <w:noProof/>
      <w:lang w:val="en-US"/>
    </w:rPr>
  </w:style>
  <w:style w:type="character" w:customStyle="1" w:styleId="EndNoteBibliographyChar">
    <w:name w:val="EndNote Bibliography Char"/>
    <w:basedOn w:val="Fontepargpadro"/>
    <w:link w:val="EndNoteBibliography"/>
    <w:rsid w:val="002D2357"/>
    <w:rPr>
      <w:rFonts w:ascii="Calibri" w:hAnsi="Calibri" w:cs="Calibri"/>
      <w:noProof/>
      <w:lang w:val="en-US"/>
    </w:rPr>
  </w:style>
  <w:style w:type="paragraph" w:styleId="Corpodetexto">
    <w:name w:val="Body Text"/>
    <w:basedOn w:val="Normal"/>
    <w:link w:val="CorpodetextoChar"/>
    <w:uiPriority w:val="99"/>
    <w:semiHidden/>
    <w:unhideWhenUsed/>
    <w:rsid w:val="002D2357"/>
    <w:pPr>
      <w:spacing w:after="120"/>
    </w:pPr>
  </w:style>
  <w:style w:type="character" w:customStyle="1" w:styleId="CorpodetextoChar">
    <w:name w:val="Corpo de texto Char"/>
    <w:basedOn w:val="Fontepargpadro"/>
    <w:link w:val="Corpodetexto"/>
    <w:uiPriority w:val="99"/>
    <w:semiHidden/>
    <w:rsid w:val="002D2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mailto:jane.friestino@uffs.edu.br" TargetMode="External"/><Relationship Id="rId2" Type="http://schemas.openxmlformats.org/officeDocument/2006/relationships/hyperlink" Target="mailto:marianarangel01@gmail.com" TargetMode="External"/><Relationship Id="rId1" Type="http://schemas.openxmlformats.org/officeDocument/2006/relationships/hyperlink" Target="mailto:daniel.bando@unifal-mg.edu.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D:\Users\danie\Documentos\0%20Artigos%2016\2021%20Homicidio%20SC\SIM\Ajustad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r>
              <a:rPr lang="pt-BR" sz="1600">
                <a:solidFill>
                  <a:schemeClr val="tx1"/>
                </a:solidFill>
              </a:rPr>
              <a:t>Homicídio em Santa Catarina</a:t>
            </a:r>
          </a:p>
        </c:rich>
      </c:tx>
      <c:layout>
        <c:manualLayout>
          <c:xMode val="edge"/>
          <c:yMode val="edge"/>
          <c:x val="0.28933910562271759"/>
          <c:y val="9.6103309790553353E-3"/>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solidFill>
              <a:latin typeface="+mn-lt"/>
              <a:ea typeface="+mn-ea"/>
              <a:cs typeface="+mn-cs"/>
            </a:defRPr>
          </a:pPr>
          <a:endParaRPr lang="pt-BR"/>
        </a:p>
      </c:txPr>
    </c:title>
    <c:autoTitleDeleted val="0"/>
    <c:plotArea>
      <c:layout>
        <c:manualLayout>
          <c:layoutTarget val="inner"/>
          <c:xMode val="edge"/>
          <c:yMode val="edge"/>
          <c:x val="0.11112955185971522"/>
          <c:y val="9.1586282819967141E-2"/>
          <c:w val="0.84470542844618446"/>
          <c:h val="0.82416838781247703"/>
        </c:manualLayout>
      </c:layout>
      <c:scatterChart>
        <c:scatterStyle val="lineMarker"/>
        <c:varyColors val="0"/>
        <c:ser>
          <c:idx val="0"/>
          <c:order val="0"/>
          <c:tx>
            <c:strRef>
              <c:f>grafs!$B$2</c:f>
              <c:strCache>
                <c:ptCount val="1"/>
                <c:pt idx="0">
                  <c:v>Observed taxa</c:v>
                </c:pt>
              </c:strCache>
            </c:strRef>
          </c:tx>
          <c:spPr>
            <a:ln w="19050" cap="rnd">
              <a:noFill/>
              <a:round/>
            </a:ln>
            <a:effectLst/>
          </c:spPr>
          <c:marker>
            <c:symbol val="circle"/>
            <c:size val="5"/>
            <c:spPr>
              <a:solidFill>
                <a:schemeClr val="tx1"/>
              </a:solidFill>
              <a:ln w="9525">
                <a:noFill/>
              </a:ln>
              <a:effectLst/>
            </c:spPr>
          </c:marker>
          <c:xVal>
            <c:numRef>
              <c:f>grafs!$A$3:$A$26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xVal>
          <c:yVal>
            <c:numRef>
              <c:f>grafs!$B$3:$B$26</c:f>
              <c:numCache>
                <c:formatCode>General</c:formatCode>
                <c:ptCount val="24"/>
                <c:pt idx="0">
                  <c:v>8.41</c:v>
                </c:pt>
                <c:pt idx="1">
                  <c:v>8.4</c:v>
                </c:pt>
                <c:pt idx="2">
                  <c:v>8.35</c:v>
                </c:pt>
                <c:pt idx="3">
                  <c:v>7.67</c:v>
                </c:pt>
                <c:pt idx="4">
                  <c:v>7.77</c:v>
                </c:pt>
                <c:pt idx="5">
                  <c:v>8.4</c:v>
                </c:pt>
                <c:pt idx="6">
                  <c:v>10.28</c:v>
                </c:pt>
                <c:pt idx="7">
                  <c:v>11.54</c:v>
                </c:pt>
                <c:pt idx="8">
                  <c:v>11.09</c:v>
                </c:pt>
                <c:pt idx="9">
                  <c:v>10.48</c:v>
                </c:pt>
                <c:pt idx="10">
                  <c:v>10.96</c:v>
                </c:pt>
                <c:pt idx="11">
                  <c:v>9.85</c:v>
                </c:pt>
                <c:pt idx="12">
                  <c:v>12.36</c:v>
                </c:pt>
                <c:pt idx="13">
                  <c:v>12.47</c:v>
                </c:pt>
                <c:pt idx="14">
                  <c:v>12.22</c:v>
                </c:pt>
                <c:pt idx="15">
                  <c:v>11.73</c:v>
                </c:pt>
                <c:pt idx="16">
                  <c:v>11.83</c:v>
                </c:pt>
                <c:pt idx="17">
                  <c:v>10.88</c:v>
                </c:pt>
                <c:pt idx="18">
                  <c:v>11.98</c:v>
                </c:pt>
                <c:pt idx="19">
                  <c:v>12.78</c:v>
                </c:pt>
                <c:pt idx="20">
                  <c:v>13.16</c:v>
                </c:pt>
                <c:pt idx="21">
                  <c:v>14.09</c:v>
                </c:pt>
                <c:pt idx="22">
                  <c:v>10.77</c:v>
                </c:pt>
                <c:pt idx="23">
                  <c:v>9.8000000000000007</c:v>
                </c:pt>
              </c:numCache>
            </c:numRef>
          </c:yVal>
          <c:smooth val="0"/>
          <c:extLst>
            <c:ext xmlns:c16="http://schemas.microsoft.com/office/drawing/2014/chart" uri="{C3380CC4-5D6E-409C-BE32-E72D297353CC}">
              <c16:uniqueId val="{00000000-0A35-47F2-BD3A-11194044462B}"/>
            </c:ext>
          </c:extLst>
        </c:ser>
        <c:ser>
          <c:idx val="1"/>
          <c:order val="1"/>
          <c:tx>
            <c:strRef>
              <c:f>grafs!$C$2</c:f>
              <c:strCache>
                <c:ptCount val="1"/>
                <c:pt idx="0">
                  <c:v>Modeled taxa</c:v>
                </c:pt>
              </c:strCache>
            </c:strRef>
          </c:tx>
          <c:spPr>
            <a:ln w="38100" cap="rnd">
              <a:solidFill>
                <a:schemeClr val="bg1">
                  <a:lumMod val="65000"/>
                </a:schemeClr>
              </a:solidFill>
              <a:round/>
            </a:ln>
            <a:effectLst/>
          </c:spPr>
          <c:marker>
            <c:symbol val="none"/>
          </c:marker>
          <c:xVal>
            <c:numRef>
              <c:f>grafs!$A$3:$A$26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xVal>
          <c:yVal>
            <c:numRef>
              <c:f>grafs!$C$3:$C$26</c:f>
              <c:numCache>
                <c:formatCode>General</c:formatCode>
                <c:ptCount val="24"/>
                <c:pt idx="0">
                  <c:v>8.52</c:v>
                </c:pt>
                <c:pt idx="1">
                  <c:v>8.32</c:v>
                </c:pt>
                <c:pt idx="2">
                  <c:v>8.1199999999999992</c:v>
                </c:pt>
                <c:pt idx="3">
                  <c:v>7.92</c:v>
                </c:pt>
                <c:pt idx="4">
                  <c:v>7.73</c:v>
                </c:pt>
                <c:pt idx="5">
                  <c:v>8.64</c:v>
                </c:pt>
                <c:pt idx="6">
                  <c:v>9.65</c:v>
                </c:pt>
                <c:pt idx="7">
                  <c:v>10.79</c:v>
                </c:pt>
                <c:pt idx="8">
                  <c:v>10.92</c:v>
                </c:pt>
                <c:pt idx="9">
                  <c:v>11.06</c:v>
                </c:pt>
                <c:pt idx="10">
                  <c:v>11.21</c:v>
                </c:pt>
                <c:pt idx="11">
                  <c:v>11.35</c:v>
                </c:pt>
                <c:pt idx="12">
                  <c:v>11.5</c:v>
                </c:pt>
                <c:pt idx="13">
                  <c:v>11.64</c:v>
                </c:pt>
                <c:pt idx="14">
                  <c:v>11.79</c:v>
                </c:pt>
                <c:pt idx="15">
                  <c:v>11.94</c:v>
                </c:pt>
                <c:pt idx="16">
                  <c:v>12.1</c:v>
                </c:pt>
                <c:pt idx="17">
                  <c:v>12.25</c:v>
                </c:pt>
                <c:pt idx="18">
                  <c:v>12.41</c:v>
                </c:pt>
                <c:pt idx="19">
                  <c:v>12.57</c:v>
                </c:pt>
                <c:pt idx="20">
                  <c:v>12.73</c:v>
                </c:pt>
                <c:pt idx="21">
                  <c:v>12.9</c:v>
                </c:pt>
                <c:pt idx="22">
                  <c:v>11.15</c:v>
                </c:pt>
                <c:pt idx="23">
                  <c:v>9.6300000000000008</c:v>
                </c:pt>
              </c:numCache>
            </c:numRef>
          </c:yVal>
          <c:smooth val="0"/>
          <c:extLst>
            <c:ext xmlns:c16="http://schemas.microsoft.com/office/drawing/2014/chart" uri="{C3380CC4-5D6E-409C-BE32-E72D297353CC}">
              <c16:uniqueId val="{00000001-0A35-47F2-BD3A-11194044462B}"/>
            </c:ext>
          </c:extLst>
        </c:ser>
        <c:ser>
          <c:idx val="2"/>
          <c:order val="2"/>
          <c:tx>
            <c:strRef>
              <c:f>grafs!$D$2</c:f>
              <c:strCache>
                <c:ptCount val="1"/>
                <c:pt idx="0">
                  <c:v>sig</c:v>
                </c:pt>
              </c:strCache>
            </c:strRef>
          </c:tx>
          <c:spPr>
            <a:ln w="38100" cap="rnd">
              <a:solidFill>
                <a:schemeClr val="tx1"/>
              </a:solidFill>
              <a:round/>
            </a:ln>
            <a:effectLst/>
          </c:spPr>
          <c:marker>
            <c:symbol val="none"/>
          </c:marker>
          <c:xVal>
            <c:numRef>
              <c:f>grafs!$A$3:$A$26</c:f>
              <c:numCache>
                <c:formatCode>General</c:formatCod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numCache>
            </c:numRef>
          </c:xVal>
          <c:yVal>
            <c:numRef>
              <c:f>grafs!$D$3:$D$26</c:f>
              <c:numCache>
                <c:formatCode>General</c:formatCode>
                <c:ptCount val="24"/>
                <c:pt idx="7">
                  <c:v>10.79</c:v>
                </c:pt>
                <c:pt idx="8">
                  <c:v>10.92</c:v>
                </c:pt>
                <c:pt idx="9">
                  <c:v>11.06</c:v>
                </c:pt>
                <c:pt idx="10">
                  <c:v>11.21</c:v>
                </c:pt>
                <c:pt idx="11">
                  <c:v>11.35</c:v>
                </c:pt>
                <c:pt idx="12">
                  <c:v>11.5</c:v>
                </c:pt>
                <c:pt idx="13">
                  <c:v>11.64</c:v>
                </c:pt>
                <c:pt idx="14">
                  <c:v>11.79</c:v>
                </c:pt>
                <c:pt idx="15">
                  <c:v>11.94</c:v>
                </c:pt>
                <c:pt idx="16">
                  <c:v>12.1</c:v>
                </c:pt>
                <c:pt idx="17">
                  <c:v>12.25</c:v>
                </c:pt>
                <c:pt idx="18">
                  <c:v>12.41</c:v>
                </c:pt>
                <c:pt idx="19">
                  <c:v>12.57</c:v>
                </c:pt>
                <c:pt idx="20">
                  <c:v>12.73</c:v>
                </c:pt>
                <c:pt idx="21">
                  <c:v>12.9</c:v>
                </c:pt>
              </c:numCache>
            </c:numRef>
          </c:yVal>
          <c:smooth val="0"/>
          <c:extLst>
            <c:ext xmlns:c16="http://schemas.microsoft.com/office/drawing/2014/chart" uri="{C3380CC4-5D6E-409C-BE32-E72D297353CC}">
              <c16:uniqueId val="{00000002-0A35-47F2-BD3A-11194044462B}"/>
            </c:ext>
          </c:extLst>
        </c:ser>
        <c:dLbls>
          <c:showLegendKey val="0"/>
          <c:showVal val="0"/>
          <c:showCatName val="0"/>
          <c:showSerName val="0"/>
          <c:showPercent val="0"/>
          <c:showBubbleSize val="0"/>
        </c:dLbls>
        <c:axId val="656599232"/>
        <c:axId val="656597152"/>
      </c:scatterChart>
      <c:valAx>
        <c:axId val="656599232"/>
        <c:scaling>
          <c:orientation val="minMax"/>
          <c:max val="2019"/>
          <c:min val="1996"/>
        </c:scaling>
        <c:delete val="0"/>
        <c:axPos val="b"/>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t-BR"/>
          </a:p>
        </c:txPr>
        <c:crossAx val="656597152"/>
        <c:crosses val="autoZero"/>
        <c:crossBetween val="midCat"/>
        <c:majorUnit val="3"/>
        <c:minorUnit val="1"/>
      </c:valAx>
      <c:valAx>
        <c:axId val="65659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t-BR" sz="1200"/>
                  <a:t>Taxa de homicídio ajustada* (por 100</a:t>
                </a:r>
                <a:r>
                  <a:rPr lang="pt-BR" sz="1200" baseline="0"/>
                  <a:t> mil)</a:t>
                </a:r>
                <a:endParaRPr lang="pt-BR" sz="1200"/>
              </a:p>
            </c:rich>
          </c:tx>
          <c:layout>
            <c:manualLayout>
              <c:xMode val="edge"/>
              <c:yMode val="edge"/>
              <c:x val="5.3961663528408416E-4"/>
              <c:y val="0.1787670761605512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t-BR"/>
          </a:p>
        </c:txPr>
        <c:crossAx val="656599232"/>
        <c:crosses val="autoZero"/>
        <c:crossBetween val="midCat"/>
        <c:minorUnit val="1"/>
      </c:valAx>
      <c:spPr>
        <a:noFill/>
        <a:ln>
          <a:solidFill>
            <a:schemeClr val="bg1">
              <a:lumMod val="7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0AACF-80FE-4257-AADA-67E366CA0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16</Pages>
  <Words>4155</Words>
  <Characters>22442</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Bando</dc:creator>
  <cp:keywords/>
  <dc:description/>
  <cp:lastModifiedBy>XISTO SOUZA JÚNIOR</cp:lastModifiedBy>
  <cp:revision>4</cp:revision>
  <dcterms:created xsi:type="dcterms:W3CDTF">2021-05-28T13:01:00Z</dcterms:created>
  <dcterms:modified xsi:type="dcterms:W3CDTF">2021-08-14T17:22:00Z</dcterms:modified>
</cp:coreProperties>
</file>