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2736" w:rsidRDefault="00E1541E">
      <w:pPr>
        <w:spacing w:before="120" w:after="120" w:line="240" w:lineRule="auto"/>
        <w:jc w:val="center"/>
        <w:rPr>
          <w:rFonts w:ascii="Arial" w:eastAsia="Arial" w:hAnsi="Arial" w:cs="Arial"/>
          <w:b/>
        </w:rPr>
      </w:pPr>
      <w:r>
        <w:rPr>
          <w:rFonts w:ascii="Arial" w:eastAsia="Arial" w:hAnsi="Arial" w:cs="Arial"/>
          <w:b/>
        </w:rPr>
        <w:t>DETERMINANTES SOCIAIS DA SAÚDE DE MINORIAS LINGUÍSTICAS: ANÁLISE COMPARATIVA SOBRE O NÍVEL DE RENDA E EDUCAÇÃO DE POPULAÇÕES FRANCÓFONAS IDOSAS NA PROVÍNCIA DE ONTÁRIO, CANADÁ</w:t>
      </w:r>
    </w:p>
    <w:p w14:paraId="00000003" w14:textId="77777777" w:rsidR="00E32736" w:rsidRPr="008842A5" w:rsidRDefault="00E1541E" w:rsidP="00BE2185">
      <w:pPr>
        <w:spacing w:after="0" w:line="240" w:lineRule="auto"/>
        <w:jc w:val="right"/>
        <w:rPr>
          <w:lang w:val="en-GB"/>
        </w:rPr>
      </w:pPr>
      <w:r w:rsidRPr="008842A5">
        <w:rPr>
          <w:rFonts w:ascii="Arial" w:eastAsia="Arial" w:hAnsi="Arial" w:cs="Arial"/>
          <w:sz w:val="20"/>
          <w:szCs w:val="20"/>
          <w:lang w:val="en-GB"/>
        </w:rPr>
        <w:t>LIMA, Filipe Antunes</w:t>
      </w:r>
      <w:r>
        <w:rPr>
          <w:rFonts w:ascii="Arial" w:eastAsia="Arial" w:hAnsi="Arial" w:cs="Arial"/>
          <w:sz w:val="20"/>
          <w:szCs w:val="20"/>
          <w:vertAlign w:val="superscript"/>
        </w:rPr>
        <w:footnoteReference w:id="1"/>
      </w:r>
    </w:p>
    <w:p w14:paraId="00000004" w14:textId="77777777" w:rsidR="00E32736" w:rsidRPr="008842A5" w:rsidRDefault="00E1541E" w:rsidP="00BE2185">
      <w:pPr>
        <w:spacing w:after="0" w:line="240" w:lineRule="auto"/>
        <w:jc w:val="right"/>
        <w:rPr>
          <w:lang w:val="en-GB"/>
        </w:rPr>
      </w:pPr>
      <w:r w:rsidRPr="008842A5">
        <w:rPr>
          <w:rFonts w:ascii="Arial" w:eastAsia="Arial" w:hAnsi="Arial" w:cs="Arial"/>
          <w:sz w:val="20"/>
          <w:szCs w:val="20"/>
          <w:lang w:val="en-GB"/>
        </w:rPr>
        <w:t>BOUCHARD, Louise</w:t>
      </w:r>
      <w:r>
        <w:rPr>
          <w:rFonts w:ascii="Arial" w:eastAsia="Arial" w:hAnsi="Arial" w:cs="Arial"/>
          <w:sz w:val="20"/>
          <w:szCs w:val="20"/>
          <w:vertAlign w:val="superscript"/>
        </w:rPr>
        <w:footnoteReference w:id="2"/>
      </w:r>
    </w:p>
    <w:p w14:paraId="00000005" w14:textId="77777777" w:rsidR="00E32736" w:rsidRDefault="00E1541E">
      <w:pPr>
        <w:spacing w:before="170" w:after="113" w:line="240" w:lineRule="auto"/>
        <w:jc w:val="both"/>
        <w:rPr>
          <w:rFonts w:ascii="Arial" w:eastAsia="Arial" w:hAnsi="Arial" w:cs="Arial"/>
        </w:rPr>
      </w:pPr>
      <w:r>
        <w:rPr>
          <w:rFonts w:ascii="Arial" w:eastAsia="Arial" w:hAnsi="Arial" w:cs="Arial"/>
        </w:rPr>
        <w:t>RESUMO:</w:t>
      </w:r>
    </w:p>
    <w:p w14:paraId="00000006" w14:textId="77777777" w:rsidR="00E32736" w:rsidRPr="00BE2185" w:rsidRDefault="00E1541E">
      <w:pPr>
        <w:spacing w:after="0" w:line="240" w:lineRule="auto"/>
        <w:jc w:val="both"/>
        <w:rPr>
          <w:rFonts w:ascii="Arial" w:eastAsia="Arial" w:hAnsi="Arial" w:cs="Arial"/>
          <w:sz w:val="20"/>
          <w:szCs w:val="20"/>
        </w:rPr>
      </w:pPr>
      <w:r w:rsidRPr="00BE2185">
        <w:rPr>
          <w:rFonts w:ascii="Arial" w:eastAsia="Arial" w:hAnsi="Arial" w:cs="Arial"/>
          <w:sz w:val="20"/>
          <w:szCs w:val="20"/>
        </w:rPr>
        <w:t xml:space="preserve">O envelhecimento populacional, o aumento da proporção de pessoas com 65 anos ou mais na população geral, é um fenômeno global e se intensificará ainda mais. Tal realidade representa um desafio à sociedade no que diz respeito às condições de vida, mais especificamente à saúde dessas populações. Os determinantes sociais da saúde, definidos em termos gerais como as condições de vida e trabalho da população, é um conceito importante nessa discussão. Insegurança financeira, baixos níveis de educação, moradia inadequada, isolamento, solidão, entre outras, são exemplos de elementos que compõem essa complexa realidade. Tal condição de vida precária tende a se manifestar de forma mais intensa em um contexto de minoria linguística. O Canadá possui oficialmente duas línguas, porém os francófonos são considerados minoria linguística em todo o território canadense, exceto na província de Quebec. O objetivo deste estudo é analisar a desigualdade entre os níveis de renda e educação de idosos francófonos em situação minoritária linguística, em relação aos idosos anglófonos em Ontário, Canadá, a partir de dados do Censo canadense de 2016. </w:t>
      </w:r>
    </w:p>
    <w:p w14:paraId="00000007" w14:textId="77777777" w:rsidR="00E32736" w:rsidRDefault="00E1541E">
      <w:pPr>
        <w:spacing w:after="0" w:line="240" w:lineRule="auto"/>
        <w:jc w:val="both"/>
        <w:rPr>
          <w:rFonts w:ascii="Arial" w:eastAsia="Arial" w:hAnsi="Arial" w:cs="Arial"/>
        </w:rPr>
      </w:pPr>
      <w:r>
        <w:rPr>
          <w:rFonts w:ascii="Arial" w:eastAsia="Arial" w:hAnsi="Arial" w:cs="Arial"/>
        </w:rPr>
        <w:t>Palavras-chave: condição de vida, determinantes sociais da saúde, minorias linguísticas, idosos.</w:t>
      </w:r>
    </w:p>
    <w:p w14:paraId="00000008" w14:textId="77777777" w:rsidR="00E32736" w:rsidRPr="008842A5" w:rsidRDefault="00E1541E">
      <w:pPr>
        <w:spacing w:before="170" w:after="113" w:line="240" w:lineRule="auto"/>
        <w:jc w:val="both"/>
        <w:rPr>
          <w:rFonts w:ascii="Arial" w:eastAsia="Arial" w:hAnsi="Arial" w:cs="Arial"/>
          <w:lang w:val="en-GB"/>
        </w:rPr>
      </w:pPr>
      <w:r w:rsidRPr="008842A5">
        <w:rPr>
          <w:rFonts w:ascii="Arial" w:eastAsia="Arial" w:hAnsi="Arial" w:cs="Arial"/>
          <w:lang w:val="en-GB"/>
        </w:rPr>
        <w:t>ABSTRACT:</w:t>
      </w:r>
    </w:p>
    <w:p w14:paraId="00000009" w14:textId="77777777" w:rsidR="00E32736" w:rsidRPr="00BE2185" w:rsidRDefault="00E1541E">
      <w:pPr>
        <w:spacing w:after="0" w:line="240" w:lineRule="auto"/>
        <w:jc w:val="both"/>
        <w:rPr>
          <w:rFonts w:ascii="Arial" w:eastAsia="Arial" w:hAnsi="Arial" w:cs="Arial"/>
          <w:sz w:val="20"/>
          <w:szCs w:val="20"/>
          <w:lang w:val="en-GB"/>
        </w:rPr>
      </w:pPr>
      <w:r w:rsidRPr="00BE2185">
        <w:rPr>
          <w:rFonts w:ascii="Arial" w:eastAsia="Arial" w:hAnsi="Arial" w:cs="Arial"/>
          <w:sz w:val="20"/>
          <w:szCs w:val="20"/>
          <w:lang w:val="en-GB"/>
        </w:rPr>
        <w:t xml:space="preserve">Population aging, the increase in the proportion of people aged 65 and over in the general population, is a global phenomenon and will intensify even more. Such a reality represents a challenge to society </w:t>
      </w:r>
      <w:proofErr w:type="gramStart"/>
      <w:r w:rsidRPr="00BE2185">
        <w:rPr>
          <w:rFonts w:ascii="Arial" w:eastAsia="Arial" w:hAnsi="Arial" w:cs="Arial"/>
          <w:sz w:val="20"/>
          <w:szCs w:val="20"/>
          <w:lang w:val="en-GB"/>
        </w:rPr>
        <w:t>with regard to</w:t>
      </w:r>
      <w:proofErr w:type="gramEnd"/>
      <w:r w:rsidRPr="00BE2185">
        <w:rPr>
          <w:rFonts w:ascii="Arial" w:eastAsia="Arial" w:hAnsi="Arial" w:cs="Arial"/>
          <w:sz w:val="20"/>
          <w:szCs w:val="20"/>
          <w:lang w:val="en-GB"/>
        </w:rPr>
        <w:t xml:space="preserve"> living conditions, more specifically health. The social determinants of health, defined in general terms as the living and working conditions of the population, is an important concept in this discussion. Financial insecurity, low levels of education, isolation, loneliness, among others, are examples of elements that make up this complex reality. Such precarious living conditions tend to manifest itself more intensely in a context of linguistic minority. Canada officially has two languages, but French speakers are considered a linguistic minority throughout Canada, except for the province of Quebec. The aim of this study is to analyze the inequality between the income and education levels of French-speaking elderly people in a linguistic minority situation, in relation to English-speaking elderly people in Ontario, Canada, based on data from the 2016 Canadian Census.</w:t>
      </w:r>
    </w:p>
    <w:p w14:paraId="5CBA6DFD" w14:textId="77777777" w:rsidR="00BE2185" w:rsidRDefault="00BE2185">
      <w:pPr>
        <w:spacing w:after="0" w:line="240" w:lineRule="auto"/>
        <w:jc w:val="both"/>
        <w:rPr>
          <w:rFonts w:ascii="Arial" w:eastAsia="Arial" w:hAnsi="Arial" w:cs="Arial"/>
          <w:sz w:val="20"/>
          <w:szCs w:val="20"/>
          <w:lang w:val="en-GB"/>
        </w:rPr>
      </w:pPr>
    </w:p>
    <w:p w14:paraId="0000000A" w14:textId="128D95D9" w:rsidR="00E32736" w:rsidRPr="008842A5" w:rsidRDefault="00E1541E">
      <w:pPr>
        <w:spacing w:after="0" w:line="240" w:lineRule="auto"/>
        <w:jc w:val="both"/>
        <w:rPr>
          <w:rFonts w:ascii="Arial" w:eastAsia="Arial" w:hAnsi="Arial" w:cs="Arial"/>
          <w:lang w:val="en-GB"/>
        </w:rPr>
      </w:pPr>
      <w:r w:rsidRPr="00BE2185">
        <w:rPr>
          <w:rFonts w:ascii="Arial" w:eastAsia="Arial" w:hAnsi="Arial" w:cs="Arial"/>
          <w:sz w:val="20"/>
          <w:szCs w:val="20"/>
          <w:lang w:val="en-GB"/>
        </w:rPr>
        <w:t>Keywords: living condition, social determinants of health, linguistic minority, elderly.</w:t>
      </w:r>
      <w:r w:rsidRPr="008842A5">
        <w:rPr>
          <w:lang w:val="en-GB"/>
        </w:rPr>
        <w:br w:type="page"/>
      </w:r>
    </w:p>
    <w:p w14:paraId="0000000B" w14:textId="77777777" w:rsidR="00E32736" w:rsidRDefault="00E1541E">
      <w:pPr>
        <w:spacing w:before="227" w:after="119" w:line="240" w:lineRule="auto"/>
        <w:jc w:val="both"/>
        <w:rPr>
          <w:rFonts w:ascii="Arial" w:eastAsia="Arial" w:hAnsi="Arial" w:cs="Arial"/>
          <w:b/>
        </w:rPr>
      </w:pPr>
      <w:r>
        <w:rPr>
          <w:rFonts w:ascii="Arial" w:eastAsia="Arial" w:hAnsi="Arial" w:cs="Arial"/>
          <w:b/>
        </w:rPr>
        <w:lastRenderedPageBreak/>
        <w:t xml:space="preserve">INTRODUÇÃO: </w:t>
      </w:r>
    </w:p>
    <w:p w14:paraId="0000000C" w14:textId="77777777" w:rsidR="00E32736" w:rsidRDefault="00E1541E" w:rsidP="00BE2185">
      <w:pPr>
        <w:spacing w:before="120" w:after="120" w:line="240" w:lineRule="auto"/>
        <w:ind w:firstLine="851"/>
        <w:jc w:val="both"/>
        <w:rPr>
          <w:rFonts w:ascii="Arial" w:eastAsia="Arial" w:hAnsi="Arial" w:cs="Arial"/>
        </w:rPr>
      </w:pPr>
      <w:r>
        <w:rPr>
          <w:rFonts w:ascii="Arial" w:eastAsia="Arial" w:hAnsi="Arial" w:cs="Arial"/>
        </w:rPr>
        <w:t xml:space="preserve">O envelhecimento da população é um fenômeno global. A ONU estima que a população idosa mundial deverá dobrar em quantidade até 2050, avançando de 9 por cento para 16 por cento de toda a população do mundo com 65 anos ou mais (WHO, 2018). Esse fenômeno se dá por vários motivos que implicam na queda da mortalidade e aumento da expectativa de vida entre eles o desenvolvimento de novas técnicas e tecnologias em diagnóstico e tratamento de doenças, avanço de políticas de prevenção e imunização e, principalmente, da melhoria da condição de vida das populações (WONG &amp; CARVALHO, 2006; VASCONCELOS &amp; GOMES, 2012). </w:t>
      </w:r>
    </w:p>
    <w:p w14:paraId="0000000D" w14:textId="77777777" w:rsidR="00E32736" w:rsidRDefault="00E1541E" w:rsidP="00BE2185">
      <w:pPr>
        <w:spacing w:before="120" w:after="120" w:line="240" w:lineRule="auto"/>
        <w:ind w:firstLine="851"/>
        <w:jc w:val="both"/>
        <w:rPr>
          <w:rFonts w:ascii="Arial" w:eastAsia="Arial" w:hAnsi="Arial" w:cs="Arial"/>
        </w:rPr>
      </w:pPr>
      <w:r>
        <w:rPr>
          <w:rFonts w:ascii="Arial" w:eastAsia="Arial" w:hAnsi="Arial" w:cs="Arial"/>
        </w:rPr>
        <w:t xml:space="preserve">Na realidade, apesar do aumento da expectativa de vida global, da melhoria das condições de vida em geral, tais avanços não são experimentados por todos, na mesma intensidade. Essa desigualdade tem sido estudada por pesquisadores em saúde coletiva e ciências sociais desde a década de 1970, buscando entender e intervir nessa realidade social (LAURELL, 1982; AROUCA, 2003). Os determinantes sociais da saúde (DSS), arcabouço conceitual usado para explicar tal dinâmica, exprime essa condição de vida que promove ou agrava a saúde das populações que possuem diversas definições mais e menos abrangentes. A OMS define DSS como as condições sociais que as pessoas vivem e trabalham (BUSS &amp; PELLEGRINI, 2007). Exemplos de determinantes sociais que podem ser enumerados são renda, educação, moradia, estrutura familiar, infraestrutura e serviços públicos, entre outros (WHO, 2010). Os idosos estão ainda mais susceptíveis a esses DSS, uma vez que as suas limitações </w:t>
      </w:r>
      <w:proofErr w:type="spellStart"/>
      <w:r>
        <w:rPr>
          <w:rFonts w:ascii="Arial" w:eastAsia="Arial" w:hAnsi="Arial" w:cs="Arial"/>
        </w:rPr>
        <w:t>gerontológicas</w:t>
      </w:r>
      <w:proofErr w:type="spellEnd"/>
      <w:r>
        <w:rPr>
          <w:rFonts w:ascii="Arial" w:eastAsia="Arial" w:hAnsi="Arial" w:cs="Arial"/>
        </w:rPr>
        <w:t xml:space="preserve"> dialeticamente agravam e são agravadas por uma condição de vida precária.</w:t>
      </w:r>
    </w:p>
    <w:p w14:paraId="0000000E" w14:textId="77777777" w:rsidR="00E32736" w:rsidRDefault="00E1541E" w:rsidP="00BE2185">
      <w:pPr>
        <w:spacing w:before="120" w:after="120" w:line="240" w:lineRule="auto"/>
        <w:ind w:firstLine="851"/>
        <w:jc w:val="both"/>
        <w:rPr>
          <w:rFonts w:ascii="Arial" w:eastAsia="Arial" w:hAnsi="Arial" w:cs="Arial"/>
        </w:rPr>
      </w:pPr>
      <w:r>
        <w:rPr>
          <w:rFonts w:ascii="Arial" w:eastAsia="Arial" w:hAnsi="Arial" w:cs="Arial"/>
        </w:rPr>
        <w:t xml:space="preserve">Ainda, para além dos determinantes sociais clássicos, o Canadá convive com uma situação particular, o fato do país possuir duas línguas oficiais, produzindo um cenário social ainda mais complexo, que possui relações intrínsecas com a língua. Isso porque apesar de ambas, inglês e francês, possuírem status de língua oficial, há disparidades entre essas comunidades. </w:t>
      </w:r>
      <w:proofErr w:type="spellStart"/>
      <w:r>
        <w:rPr>
          <w:rFonts w:ascii="Arial" w:eastAsia="Arial" w:hAnsi="Arial" w:cs="Arial"/>
        </w:rPr>
        <w:t>Landry</w:t>
      </w:r>
      <w:proofErr w:type="spellEnd"/>
      <w:r>
        <w:rPr>
          <w:rFonts w:ascii="Arial" w:eastAsia="Arial" w:hAnsi="Arial" w:cs="Arial"/>
        </w:rPr>
        <w:t xml:space="preserve"> (2018) analisa que há apenas uma igualdade formal, porém essa não se efetua O status minoritário linguístico é definido como a situação de um indivíduo ou população vivendo em uma região em que a sua língua difere da hegemônica, inviabilizando a reprodução plena de sua existência, além de limitar o </w:t>
      </w:r>
      <w:proofErr w:type="gramStart"/>
      <w:r>
        <w:rPr>
          <w:rFonts w:ascii="Arial" w:eastAsia="Arial" w:hAnsi="Arial" w:cs="Arial"/>
        </w:rPr>
        <w:t>seu acessos</w:t>
      </w:r>
      <w:proofErr w:type="gramEnd"/>
      <w:r>
        <w:rPr>
          <w:rFonts w:ascii="Arial" w:eastAsia="Arial" w:hAnsi="Arial" w:cs="Arial"/>
        </w:rPr>
        <w:t xml:space="preserve"> aos serviços públicos básicos, como saúde e educação (BLANCHET, 2005; BOUCHARD et. al., 2009). </w:t>
      </w:r>
    </w:p>
    <w:p w14:paraId="0000000F" w14:textId="77777777" w:rsidR="00E32736" w:rsidRDefault="00E1541E" w:rsidP="00BE2185">
      <w:pPr>
        <w:spacing w:before="113" w:after="113" w:line="240" w:lineRule="auto"/>
        <w:ind w:firstLine="851"/>
        <w:jc w:val="both"/>
        <w:rPr>
          <w:rFonts w:ascii="Arial" w:eastAsia="Arial" w:hAnsi="Arial" w:cs="Arial"/>
        </w:rPr>
      </w:pPr>
      <w:r>
        <w:rPr>
          <w:rFonts w:ascii="Arial" w:eastAsia="Arial" w:hAnsi="Arial" w:cs="Arial"/>
        </w:rPr>
        <w:t>Comunidades Minoritárias de Língua Oficial (</w:t>
      </w:r>
      <w:proofErr w:type="spellStart"/>
      <w:r>
        <w:rPr>
          <w:rFonts w:ascii="Arial" w:eastAsia="Arial" w:hAnsi="Arial" w:cs="Arial"/>
        </w:rPr>
        <w:t>CMLOs</w:t>
      </w:r>
      <w:proofErr w:type="spellEnd"/>
      <w:r>
        <w:rPr>
          <w:rFonts w:ascii="Arial" w:eastAsia="Arial" w:hAnsi="Arial" w:cs="Arial"/>
        </w:rPr>
        <w:t xml:space="preserve">), conforme definidas pelo Canadian </w:t>
      </w:r>
      <w:proofErr w:type="spellStart"/>
      <w:r>
        <w:rPr>
          <w:rFonts w:ascii="Arial" w:eastAsia="Arial" w:hAnsi="Arial" w:cs="Arial"/>
        </w:rPr>
        <w:t>Heritage</w:t>
      </w:r>
      <w:proofErr w:type="spellEnd"/>
      <w:r>
        <w:rPr>
          <w:rFonts w:ascii="Arial" w:eastAsia="Arial" w:hAnsi="Arial" w:cs="Arial"/>
        </w:rPr>
        <w:t>, incluem a minoria linguística francófona que vive fora de Quebec e a minoria de língua inglesa em Quebec. É fato que as iniquidades sobre as minorias linguísticas têm se acentuado ao longo da história, com disparidades sociais e acesso desigual aos serviços públicos (BLANCHET, 2005; LEIS &amp; BOUCHARD, 2013). A minoria francófona é caracterizada por uma acentuação do envelhecimento, um aumento da feminização, um estatuto socioeconômico precário e uma presença mais forte desta categoria populacional nas zonas rurais (BOUCHARD et al., 2009; BOUCHARD &amp; DESMEULES, 2011; BENDIMÉRAD, 2011; GUCHER, 2013; SIMARD ET AL., 2015; BOUCHARD &amp; DESMEULES, 2017).</w:t>
      </w:r>
    </w:p>
    <w:p w14:paraId="00000010" w14:textId="77777777" w:rsidR="00E32736" w:rsidRDefault="00E1541E" w:rsidP="00BE2185">
      <w:pPr>
        <w:spacing w:before="113" w:after="113" w:line="240" w:lineRule="auto"/>
        <w:ind w:firstLine="851"/>
        <w:jc w:val="both"/>
        <w:rPr>
          <w:rFonts w:ascii="Arial" w:eastAsia="Arial" w:hAnsi="Arial" w:cs="Arial"/>
        </w:rPr>
      </w:pPr>
      <w:r>
        <w:rPr>
          <w:rFonts w:ascii="Arial" w:eastAsia="Arial" w:hAnsi="Arial" w:cs="Arial"/>
        </w:rPr>
        <w:lastRenderedPageBreak/>
        <w:t xml:space="preserve">Essas diversas características são fonte de disparidades, principalmente no que se refere às condições de saúde, conforme ilustrado na literatura sobre determinantes sociais (OMS, 2009). Dentre os determinantes sociais da saúde que mais influenciam a condição de vida e saúde das populações, especialmente idosos, estão a renda e a educação. </w:t>
      </w:r>
    </w:p>
    <w:p w14:paraId="00000011" w14:textId="77777777" w:rsidR="00E32736" w:rsidRDefault="00E1541E" w:rsidP="00BE2185">
      <w:pPr>
        <w:spacing w:before="113" w:after="113" w:line="240" w:lineRule="auto"/>
        <w:ind w:firstLine="851"/>
        <w:jc w:val="both"/>
        <w:rPr>
          <w:rFonts w:ascii="Arial" w:eastAsia="Arial" w:hAnsi="Arial" w:cs="Arial"/>
        </w:rPr>
      </w:pPr>
      <w:r>
        <w:rPr>
          <w:rFonts w:ascii="Arial" w:eastAsia="Arial" w:hAnsi="Arial" w:cs="Arial"/>
        </w:rPr>
        <w:t>A renda é considerada o mais importante dos determinantes sociais da saúde (KAWACHI, 2010). Isso porque, em uma sociedade capitalista, o nível de renda dita o consumo e o acesso, ou seja, as condições de vida em geral. Ele determinará a habitação, a qualidade ambiental, a qualidade dos alimentos e outros comportamentos relacionados à saúde. A partir disso, é correto supor que a renda terá grande influência na situação dos demais determinantes sociais da saúde, sendo, portanto, central nesta discussão. Os idosos da minoria francófona têm um status de renda mais baixa em comparação com a maioria. Isso significa que pertencer à minoria francófona é um determinante da pobreza entre os idosos (BOUCHARD et al., 2015).</w:t>
      </w:r>
    </w:p>
    <w:p w14:paraId="00000012" w14:textId="77777777" w:rsidR="00E32736" w:rsidRDefault="00E1541E" w:rsidP="00BE2185">
      <w:pPr>
        <w:spacing w:before="113" w:after="113" w:line="240" w:lineRule="auto"/>
        <w:ind w:firstLine="851"/>
        <w:jc w:val="both"/>
        <w:rPr>
          <w:rFonts w:ascii="Arial" w:eastAsia="Arial" w:hAnsi="Arial" w:cs="Arial"/>
        </w:rPr>
      </w:pPr>
      <w:r>
        <w:rPr>
          <w:rFonts w:ascii="Arial" w:eastAsia="Arial" w:hAnsi="Arial" w:cs="Arial"/>
        </w:rPr>
        <w:t xml:space="preserve">Educação é outro DSS preponderante. Está comprovado em muitos estudos em diferentes partes do globo que a educação tem um papel central na saúde da população. Pessoas com ensino superior tendem a ser mais saudáveis do que aqueles com ensino inferior (ZIMMERMAN et al., 2018). Em primeiro lugar, porque pode ser um fator importante na determinação da renda, que como já foi dito, é o mais impactante dos DSS. Elaborando sobre isso, a educação pode ser uma ferramenta eficaz para a mobilidade social. Além disso, o ensino superior possibilita ao indivíduo compreender melhor sua realidade, as possibilidades e tomar decisões sobre sua vida, principalmente aquelas que vão influenciar sua saúde. A alfabetização é mais do que apenas a capacidade de ler e interpretar informações, mas vai além e se relaciona com a capacidade de acessar políticas públicas, de se engajar socialmente em sua comunidade </w:t>
      </w:r>
      <w:proofErr w:type="gramStart"/>
      <w:r>
        <w:rPr>
          <w:rFonts w:ascii="Arial" w:eastAsia="Arial" w:hAnsi="Arial" w:cs="Arial"/>
        </w:rPr>
        <w:t>e também</w:t>
      </w:r>
      <w:proofErr w:type="gramEnd"/>
      <w:r>
        <w:rPr>
          <w:rFonts w:ascii="Arial" w:eastAsia="Arial" w:hAnsi="Arial" w:cs="Arial"/>
        </w:rPr>
        <w:t xml:space="preserve"> de avaliar e promover mudanças saudáveis de comportamento. É claro que em uma situação de língua oficial minoritária, a população francófona tem menos educação, é mais provável que trabalhe em um comércio não especializado (BOUCHARD et al., 2015).</w:t>
      </w:r>
    </w:p>
    <w:p w14:paraId="00000013" w14:textId="77777777" w:rsidR="00E32736" w:rsidRDefault="00E1541E" w:rsidP="00BE2185">
      <w:pPr>
        <w:spacing w:before="120" w:after="120" w:line="240" w:lineRule="auto"/>
        <w:ind w:firstLine="851"/>
        <w:jc w:val="both"/>
        <w:rPr>
          <w:rFonts w:ascii="Arial" w:eastAsia="Arial" w:hAnsi="Arial" w:cs="Arial"/>
        </w:rPr>
      </w:pPr>
      <w:r>
        <w:rPr>
          <w:rFonts w:ascii="Arial" w:eastAsia="Arial" w:hAnsi="Arial" w:cs="Arial"/>
        </w:rPr>
        <w:t>A partir disso, esse trabalho tem como objetivo analisar dados quantitativos da realidade social de idosos francófonos em situação de minoria linguística em Ontário em comparação com aqueles em situação majoritária, a fim de embasar e reforçar a discussão do papel central da língua na condição de vida, dos determinantes sociais da saúde, ou seja, reprodução da vida e da saúde.</w:t>
      </w:r>
    </w:p>
    <w:p w14:paraId="00000014" w14:textId="77777777" w:rsidR="00E32736" w:rsidRDefault="00E1541E" w:rsidP="00BE2185">
      <w:pPr>
        <w:spacing w:before="120" w:after="120" w:line="240" w:lineRule="auto"/>
        <w:ind w:firstLine="851"/>
        <w:jc w:val="both"/>
        <w:rPr>
          <w:rFonts w:ascii="Arial" w:eastAsia="Arial" w:hAnsi="Arial" w:cs="Arial"/>
        </w:rPr>
      </w:pPr>
      <w:r>
        <w:rPr>
          <w:rFonts w:ascii="Arial" w:eastAsia="Arial" w:hAnsi="Arial" w:cs="Arial"/>
        </w:rPr>
        <w:t xml:space="preserve">Esse artigo é fruto de um estágio de pesquisa internacional realizado na Faculdade de Ciências Sociais da Universidade de Ottawa, no Canadá. Essa pesquisa faz  parte do projeto denominado “Idosos Francófonos em Situação Minoritária: Condições de Vida, Condições de Saúde, Qualidade e Segurança dos Serviços”, uma colaboração entre a Universidade de Ottawa com o Canadian </w:t>
      </w:r>
      <w:proofErr w:type="spellStart"/>
      <w:r>
        <w:rPr>
          <w:rFonts w:ascii="Arial" w:eastAsia="Arial" w:hAnsi="Arial" w:cs="Arial"/>
        </w:rPr>
        <w:t>Heritage</w:t>
      </w:r>
      <w:proofErr w:type="spellEnd"/>
      <w:r>
        <w:rPr>
          <w:rFonts w:ascii="Arial" w:eastAsia="Arial" w:hAnsi="Arial" w:cs="Arial"/>
        </w:rPr>
        <w:t xml:space="preserve"> que visa consolidar as bases de conhecimento teórico e empírico acerca das condições de vida dos idosos francófonos que vivem em situação de minoria linguística no Canadá, o seu estado de saúde, o acesso e qualidade e segurança do serviço de saúde, além das barreiras linguísticas nas instituições de longa permanência e cuidados no domicílio. Sendo assim, tais análises encontram- se ainda em desenvolvimento, sendo esses, resultados preliminares da pesquisa. </w:t>
      </w:r>
    </w:p>
    <w:p w14:paraId="00000016" w14:textId="77777777" w:rsidR="00E32736" w:rsidRDefault="00E1541E">
      <w:pPr>
        <w:spacing w:before="113" w:after="113" w:line="240" w:lineRule="auto"/>
        <w:jc w:val="both"/>
        <w:rPr>
          <w:rFonts w:ascii="Arial" w:eastAsia="Arial" w:hAnsi="Arial" w:cs="Arial"/>
          <w:b/>
        </w:rPr>
      </w:pPr>
      <w:r>
        <w:rPr>
          <w:rFonts w:ascii="Arial" w:eastAsia="Arial" w:hAnsi="Arial" w:cs="Arial"/>
          <w:b/>
        </w:rPr>
        <w:lastRenderedPageBreak/>
        <w:t>PROCEDIMENTOS METODOLÓGICOS:</w:t>
      </w:r>
    </w:p>
    <w:p w14:paraId="00000017" w14:textId="77777777" w:rsidR="00E32736" w:rsidRDefault="00E1541E">
      <w:pPr>
        <w:spacing w:before="113" w:after="113" w:line="240" w:lineRule="auto"/>
        <w:jc w:val="both"/>
        <w:rPr>
          <w:rFonts w:ascii="Arial" w:eastAsia="Arial" w:hAnsi="Arial" w:cs="Arial"/>
          <w:u w:val="single"/>
        </w:rPr>
      </w:pPr>
      <w:r>
        <w:rPr>
          <w:rFonts w:ascii="Arial" w:eastAsia="Arial" w:hAnsi="Arial" w:cs="Arial"/>
          <w:u w:val="single"/>
        </w:rPr>
        <w:t>Fonte de dados</w:t>
      </w:r>
    </w:p>
    <w:p w14:paraId="00000018" w14:textId="77777777" w:rsidR="00E32736" w:rsidRDefault="00E1541E" w:rsidP="00BE2185">
      <w:pPr>
        <w:tabs>
          <w:tab w:val="left" w:pos="851"/>
        </w:tabs>
        <w:spacing w:before="113" w:after="113" w:line="240" w:lineRule="auto"/>
        <w:ind w:firstLine="709"/>
        <w:jc w:val="both"/>
        <w:rPr>
          <w:rFonts w:ascii="Arial" w:eastAsia="Arial" w:hAnsi="Arial" w:cs="Arial"/>
        </w:rPr>
      </w:pPr>
      <w:r>
        <w:rPr>
          <w:rFonts w:ascii="Arial" w:eastAsia="Arial" w:hAnsi="Arial" w:cs="Arial"/>
        </w:rPr>
        <w:t xml:space="preserve"> A fonte de dados utilizada nesta pesquisa foi extraída de blocos de dados do Censo Canadense de 2016 produzidos pela </w:t>
      </w:r>
      <w:proofErr w:type="spellStart"/>
      <w:r>
        <w:rPr>
          <w:rFonts w:ascii="Arial" w:eastAsia="Arial" w:hAnsi="Arial" w:cs="Arial"/>
        </w:rPr>
        <w:t>Statistics</w:t>
      </w:r>
      <w:proofErr w:type="spellEnd"/>
      <w:r>
        <w:rPr>
          <w:rFonts w:ascii="Arial" w:eastAsia="Arial" w:hAnsi="Arial" w:cs="Arial"/>
        </w:rPr>
        <w:t xml:space="preserve"> Canada. Tal decisão foi tomada levando em consideração a disponibilidade de dados georreferenciados, passíveis de manipulação e categorização e ainda de cruzamentos estratificados entre grupos e variáveis escolhidas. </w:t>
      </w:r>
    </w:p>
    <w:p w14:paraId="00000019" w14:textId="77777777" w:rsidR="00E32736" w:rsidRDefault="00E1541E">
      <w:pPr>
        <w:spacing w:before="113" w:after="113" w:line="240" w:lineRule="auto"/>
        <w:jc w:val="both"/>
        <w:rPr>
          <w:rFonts w:ascii="Arial" w:eastAsia="Arial" w:hAnsi="Arial" w:cs="Arial"/>
          <w:u w:val="single"/>
        </w:rPr>
      </w:pPr>
      <w:r>
        <w:rPr>
          <w:rFonts w:ascii="Arial" w:eastAsia="Arial" w:hAnsi="Arial" w:cs="Arial"/>
          <w:u w:val="single"/>
        </w:rPr>
        <w:t>População do Estudo e Escala Geográfica</w:t>
      </w:r>
    </w:p>
    <w:p w14:paraId="0000001A" w14:textId="77777777" w:rsidR="00E32736" w:rsidRDefault="00E1541E" w:rsidP="00BE2185">
      <w:pPr>
        <w:spacing w:before="113" w:after="113" w:line="240" w:lineRule="auto"/>
        <w:ind w:firstLine="709"/>
        <w:jc w:val="both"/>
        <w:rPr>
          <w:rFonts w:ascii="Arial" w:eastAsia="Arial" w:hAnsi="Arial" w:cs="Arial"/>
        </w:rPr>
      </w:pPr>
      <w:r>
        <w:rPr>
          <w:rFonts w:ascii="Arial" w:eastAsia="Arial" w:hAnsi="Arial" w:cs="Arial"/>
        </w:rPr>
        <w:t xml:space="preserve">A população de estudo foi determinada a partir da idade e os grupos linguísticos. Foi estabelecido o corte etário do estudo a partir da convenção usual para população idosa no país, 65 anos. A variável selecionada acerca do idioma foi a Primeira Língua Oficial Falada – PLOF. Existem quatro grupos principais nesta categoria: Inglês, </w:t>
      </w:r>
      <w:proofErr w:type="gramStart"/>
      <w:r>
        <w:rPr>
          <w:rFonts w:ascii="Arial" w:eastAsia="Arial" w:hAnsi="Arial" w:cs="Arial"/>
        </w:rPr>
        <w:t>Francês</w:t>
      </w:r>
      <w:proofErr w:type="gramEnd"/>
      <w:r>
        <w:rPr>
          <w:rFonts w:ascii="Arial" w:eastAsia="Arial" w:hAnsi="Arial" w:cs="Arial"/>
        </w:rPr>
        <w:t xml:space="preserve">, Bilíngue e Nem Inglês nem Francês. A combinação de todos os grupos, evidentemente, contabiliza a população total. No entanto, para estabelecer as populações anglófona e francófona, os bilíngues são divididos ao meio e somados aos grupos de inglês e francês, essa metodologia de estimativa populacional é a utilizada pela </w:t>
      </w:r>
      <w:proofErr w:type="spellStart"/>
      <w:r>
        <w:rPr>
          <w:rFonts w:ascii="Arial" w:eastAsia="Arial" w:hAnsi="Arial" w:cs="Arial"/>
        </w:rPr>
        <w:t>Statistics</w:t>
      </w:r>
      <w:proofErr w:type="spellEnd"/>
      <w:r>
        <w:rPr>
          <w:rFonts w:ascii="Arial" w:eastAsia="Arial" w:hAnsi="Arial" w:cs="Arial"/>
        </w:rPr>
        <w:t xml:space="preserve"> Canada. Foram considerados nesta análise a população anglófona (maioria linguística) e população francófona (minoria linguística). Ainda, o nível de disseminação dos dados utilizado para o estudo mais viável para representar tais cruzamentos de dados, foi das Regiões Econômicas (RE). RE é definido pelo dicionário do Censo como “um agrupamento de subdivisões censitárias completas, criado como uma unidade geográfica padrão para análise da atividade econômica regional” (STATISTICS CANADA, 2016). Ontário possui 11 </w:t>
      </w:r>
      <w:proofErr w:type="spellStart"/>
      <w:r>
        <w:rPr>
          <w:rFonts w:ascii="Arial" w:eastAsia="Arial" w:hAnsi="Arial" w:cs="Arial"/>
        </w:rPr>
        <w:t>REs</w:t>
      </w:r>
      <w:proofErr w:type="spellEnd"/>
      <w:r>
        <w:rPr>
          <w:rFonts w:ascii="Arial" w:eastAsia="Arial" w:hAnsi="Arial" w:cs="Arial"/>
        </w:rPr>
        <w:t xml:space="preserve"> e os seus resultados foram calculados a partir de 52 divisões do censo (DC) e 575 subdivisões do censo (SDC). </w:t>
      </w:r>
    </w:p>
    <w:p w14:paraId="0000001B" w14:textId="77777777" w:rsidR="00E32736" w:rsidRDefault="00E1541E">
      <w:pPr>
        <w:spacing w:before="113" w:after="113" w:line="240" w:lineRule="auto"/>
        <w:jc w:val="both"/>
        <w:rPr>
          <w:rFonts w:ascii="Arial" w:eastAsia="Arial" w:hAnsi="Arial" w:cs="Arial"/>
          <w:u w:val="single"/>
        </w:rPr>
      </w:pPr>
      <w:r>
        <w:rPr>
          <w:rFonts w:ascii="Arial" w:eastAsia="Arial" w:hAnsi="Arial" w:cs="Arial"/>
          <w:u w:val="single"/>
        </w:rPr>
        <w:t>Seleção de Variáveis</w:t>
      </w:r>
    </w:p>
    <w:p w14:paraId="0000001C" w14:textId="77777777" w:rsidR="00E32736" w:rsidRDefault="00E1541E" w:rsidP="00BE2185">
      <w:pPr>
        <w:spacing w:before="113" w:after="113" w:line="240" w:lineRule="auto"/>
        <w:ind w:firstLine="851"/>
        <w:jc w:val="both"/>
        <w:rPr>
          <w:rFonts w:ascii="Arial" w:eastAsia="Arial" w:hAnsi="Arial" w:cs="Arial"/>
        </w:rPr>
      </w:pPr>
      <w:r>
        <w:rPr>
          <w:rFonts w:ascii="Arial" w:eastAsia="Arial" w:hAnsi="Arial" w:cs="Arial"/>
        </w:rPr>
        <w:t xml:space="preserve">Foram selecionadas, dos dados disponíveis no Censo 2016, variáveis de renda e educação. Acerca da renda, foram selecionadas duas variáveis para descrever tal determinante social da saúde: a média de renda individual da população estudada, </w:t>
      </w:r>
      <w:r>
        <w:rPr>
          <w:rFonts w:ascii="Arial" w:eastAsia="Arial" w:hAnsi="Arial" w:cs="Arial"/>
          <w:color w:val="000000"/>
        </w:rPr>
        <w:t>e o</w:t>
      </w:r>
      <w:r>
        <w:rPr>
          <w:rFonts w:ascii="Arial" w:eastAsia="Arial" w:hAnsi="Arial" w:cs="Arial"/>
        </w:rPr>
        <w:t xml:space="preserve"> percentual de indivíduos com renda inferior a $20.000 por ano, essa última tem sido </w:t>
      </w:r>
      <w:proofErr w:type="gramStart"/>
      <w:r>
        <w:rPr>
          <w:rFonts w:ascii="Arial" w:eastAsia="Arial" w:hAnsi="Arial" w:cs="Arial"/>
        </w:rPr>
        <w:t>usado</w:t>
      </w:r>
      <w:proofErr w:type="gramEnd"/>
      <w:r>
        <w:rPr>
          <w:rFonts w:ascii="Arial" w:eastAsia="Arial" w:hAnsi="Arial" w:cs="Arial"/>
        </w:rPr>
        <w:t xml:space="preserve"> como uma referência de baixa renda (individual) pelo Canadian </w:t>
      </w:r>
      <w:proofErr w:type="spellStart"/>
      <w:r>
        <w:rPr>
          <w:rFonts w:ascii="Arial" w:eastAsia="Arial" w:hAnsi="Arial" w:cs="Arial"/>
        </w:rPr>
        <w:t>Heritage</w:t>
      </w:r>
      <w:proofErr w:type="spellEnd"/>
      <w:r>
        <w:rPr>
          <w:rFonts w:ascii="Arial" w:eastAsia="Arial" w:hAnsi="Arial" w:cs="Arial"/>
        </w:rPr>
        <w:t xml:space="preserve">. Para a representação da educação das populações estudadas também foram selecionadas duas variáveis: percentual de indivíduos sem qualquer certificado ou diploma escolar e o percentual de indivíduos com certificado ou diploma pós-secundário. Esses dois parâmetros são boas referências para o nível de instrução de uma determinada população. </w:t>
      </w:r>
    </w:p>
    <w:p w14:paraId="0000001D" w14:textId="77777777" w:rsidR="00E32736" w:rsidRDefault="00E1541E">
      <w:pPr>
        <w:spacing w:before="113" w:after="113" w:line="240" w:lineRule="auto"/>
        <w:jc w:val="both"/>
        <w:rPr>
          <w:rFonts w:ascii="Arial" w:eastAsia="Arial" w:hAnsi="Arial" w:cs="Arial"/>
          <w:u w:val="single"/>
        </w:rPr>
      </w:pPr>
      <w:r>
        <w:rPr>
          <w:rFonts w:ascii="Arial" w:eastAsia="Arial" w:hAnsi="Arial" w:cs="Arial"/>
          <w:u w:val="single"/>
        </w:rPr>
        <w:t>Análise Comparativa</w:t>
      </w:r>
    </w:p>
    <w:p w14:paraId="0000001E" w14:textId="77777777" w:rsidR="00E32736" w:rsidRDefault="00E1541E" w:rsidP="00BE2185">
      <w:pPr>
        <w:spacing w:before="113" w:after="113" w:line="240" w:lineRule="auto"/>
        <w:ind w:firstLine="851"/>
        <w:jc w:val="both"/>
        <w:rPr>
          <w:rFonts w:ascii="Arial" w:eastAsia="Arial" w:hAnsi="Arial" w:cs="Arial"/>
        </w:rPr>
      </w:pPr>
      <w:r>
        <w:rPr>
          <w:rFonts w:ascii="Arial" w:eastAsia="Arial" w:hAnsi="Arial" w:cs="Arial"/>
        </w:rPr>
        <w:t xml:space="preserve">Para embasar a discussão acerca do impacto da situação de minoria linguística foi então calculado um índice comparativo entre a minoria e maioria para </w:t>
      </w:r>
      <w:proofErr w:type="gramStart"/>
      <w:r>
        <w:rPr>
          <w:rFonts w:ascii="Arial" w:eastAsia="Arial" w:hAnsi="Arial" w:cs="Arial"/>
        </w:rPr>
        <w:t>cada um das variáveis selecionadas</w:t>
      </w:r>
      <w:proofErr w:type="gramEnd"/>
      <w:r>
        <w:rPr>
          <w:rFonts w:ascii="Arial" w:eastAsia="Arial" w:hAnsi="Arial" w:cs="Arial"/>
        </w:rPr>
        <w:t xml:space="preserve">, evidenciando discrepâncias entre elas, podendo assim, apresentar padrões na intensificação dos determinantes sociais da saúde selecionados. O índice foi calculado a partir da razão entre os indicadores de condição de vida da população idosa francófona (minoria) sobre os indicadores de condição de vida da população idosa anglófona. </w:t>
      </w:r>
    </w:p>
    <w:p w14:paraId="0000001F" w14:textId="77777777" w:rsidR="00E32736" w:rsidRDefault="00E32736">
      <w:pPr>
        <w:spacing w:before="113" w:after="113" w:line="240" w:lineRule="auto"/>
        <w:ind w:firstLine="1134"/>
        <w:jc w:val="both"/>
        <w:rPr>
          <w:rFonts w:ascii="Arial" w:eastAsia="Arial" w:hAnsi="Arial" w:cs="Arial"/>
        </w:rPr>
      </w:pPr>
    </w:p>
    <w:p w14:paraId="00000020" w14:textId="77777777" w:rsidR="00E32736" w:rsidRDefault="00E1541E">
      <w:pPr>
        <w:spacing w:before="170" w:after="119" w:line="240" w:lineRule="auto"/>
        <w:jc w:val="both"/>
        <w:rPr>
          <w:rFonts w:ascii="Arial" w:eastAsia="Arial" w:hAnsi="Arial" w:cs="Arial"/>
          <w:b/>
        </w:rPr>
      </w:pPr>
      <w:r>
        <w:rPr>
          <w:rFonts w:ascii="Arial" w:eastAsia="Arial" w:hAnsi="Arial" w:cs="Arial"/>
          <w:b/>
        </w:rPr>
        <w:lastRenderedPageBreak/>
        <w:t>RESULTADOS:</w:t>
      </w:r>
    </w:p>
    <w:p w14:paraId="00000021"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rPr>
        <w:t>Ontário é a província mais populosa do país, com mais de 13,24 milhões de habitantes, representando 38,4% da população do Canadá. A população francófona em Ontário corresponde a 4,13% da população total, um número total de 547.280 pessoas. Acerca do envelhecimento, os idosos totalizam 2,11 milhões de pessoas, 15,96% da população. Entre os francófonos esse percentual é ainda mais elevado, 19,62%, um total de 107.383 pessoas. Os mapas 01 e 02 apresentam a distribuição espacial dessas populações, evidenciando as dinâmicas demográficas no espaço:</w:t>
      </w:r>
    </w:p>
    <w:p w14:paraId="00000025" w14:textId="77777777" w:rsidR="00E32736" w:rsidRDefault="00E1541E">
      <w:pPr>
        <w:spacing w:before="119" w:after="0" w:line="240" w:lineRule="auto"/>
        <w:jc w:val="center"/>
        <w:rPr>
          <w:rFonts w:ascii="Arial" w:eastAsia="Arial" w:hAnsi="Arial" w:cs="Arial"/>
        </w:rPr>
      </w:pPr>
      <w:r>
        <w:rPr>
          <w:rFonts w:ascii="Arial" w:eastAsia="Arial" w:hAnsi="Arial" w:cs="Arial"/>
        </w:rPr>
        <w:t>Mapas 01 e 02: Distribuição Espacial da População Total em Ontário, Canadá</w:t>
      </w:r>
    </w:p>
    <w:p w14:paraId="00000026" w14:textId="77777777" w:rsidR="00E32736" w:rsidRDefault="00E1541E">
      <w:pPr>
        <w:spacing w:before="119" w:after="0" w:line="240" w:lineRule="auto"/>
        <w:rPr>
          <w:rFonts w:ascii="Arial" w:eastAsia="Arial" w:hAnsi="Arial" w:cs="Arial"/>
        </w:rPr>
      </w:pPr>
      <w:r>
        <w:rPr>
          <w:noProof/>
        </w:rPr>
        <w:drawing>
          <wp:anchor distT="0" distB="0" distL="0" distR="0" simplePos="0" relativeHeight="251658240" behindDoc="0" locked="0" layoutInCell="1" hidden="0" allowOverlap="1">
            <wp:simplePos x="0" y="0"/>
            <wp:positionH relativeFrom="column">
              <wp:posOffset>-309</wp:posOffset>
            </wp:positionH>
            <wp:positionV relativeFrom="paragraph">
              <wp:posOffset>77254</wp:posOffset>
            </wp:positionV>
            <wp:extent cx="5760085" cy="373189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760085" cy="3731895"/>
                    </a:xfrm>
                    <a:prstGeom prst="rect">
                      <a:avLst/>
                    </a:prstGeom>
                    <a:ln/>
                  </pic:spPr>
                </pic:pic>
              </a:graphicData>
            </a:graphic>
          </wp:anchor>
        </w:drawing>
      </w:r>
    </w:p>
    <w:p w14:paraId="00000027"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rPr>
        <w:t xml:space="preserve">No mapa </w:t>
      </w:r>
      <w:r>
        <w:rPr>
          <w:rFonts w:ascii="Arial" w:eastAsia="Arial" w:hAnsi="Arial" w:cs="Arial"/>
          <w:color w:val="000000"/>
        </w:rPr>
        <w:t>01</w:t>
      </w:r>
      <w:r>
        <w:rPr>
          <w:rFonts w:ascii="Arial" w:eastAsia="Arial" w:hAnsi="Arial" w:cs="Arial"/>
        </w:rPr>
        <w:t xml:space="preserve"> (à esquerda), é possível perceber que a população de Ontário se concentra na porção sul da província, próximo à fronteira dos Estados Unidos. Mais especificamente, a região de Toronto concentra mais de 6,34 milhões de pessoas, 47,92% da população. As regiões </w:t>
      </w:r>
      <w:proofErr w:type="spellStart"/>
      <w:r>
        <w:rPr>
          <w:rFonts w:ascii="Arial" w:eastAsia="Arial" w:hAnsi="Arial" w:cs="Arial"/>
        </w:rPr>
        <w:t>Northeast</w:t>
      </w:r>
      <w:proofErr w:type="spellEnd"/>
      <w:r>
        <w:rPr>
          <w:rFonts w:ascii="Arial" w:eastAsia="Arial" w:hAnsi="Arial" w:cs="Arial"/>
        </w:rPr>
        <w:t xml:space="preserve"> e </w:t>
      </w:r>
      <w:proofErr w:type="spellStart"/>
      <w:r>
        <w:rPr>
          <w:rFonts w:ascii="Arial" w:eastAsia="Arial" w:hAnsi="Arial" w:cs="Arial"/>
        </w:rPr>
        <w:t>Northwest</w:t>
      </w:r>
      <w:proofErr w:type="spellEnd"/>
      <w:r>
        <w:rPr>
          <w:rFonts w:ascii="Arial" w:eastAsia="Arial" w:hAnsi="Arial" w:cs="Arial"/>
        </w:rPr>
        <w:t xml:space="preserve"> apresentam as menores densidades demográficas, 18,30 e 3,99 respectivamente. Acerca da população idosa, no mapa 02 (à direita) é possível identificar a sua distribuição espacial com destaque para a porção central da província, incluindo as regiões de </w:t>
      </w:r>
      <w:proofErr w:type="spellStart"/>
      <w:r>
        <w:rPr>
          <w:rFonts w:ascii="Arial" w:eastAsia="Arial" w:hAnsi="Arial" w:cs="Arial"/>
        </w:rPr>
        <w:t>Muskoka-Kawartas</w:t>
      </w:r>
      <w:proofErr w:type="spellEnd"/>
      <w:r>
        <w:rPr>
          <w:rFonts w:ascii="Arial" w:eastAsia="Arial" w:hAnsi="Arial" w:cs="Arial"/>
        </w:rPr>
        <w:t xml:space="preserve"> (23,93%), </w:t>
      </w:r>
      <w:proofErr w:type="spellStart"/>
      <w:r>
        <w:rPr>
          <w:rFonts w:ascii="Arial" w:eastAsia="Arial" w:hAnsi="Arial" w:cs="Arial"/>
        </w:rPr>
        <w:t>Stratford</w:t>
      </w:r>
      <w:proofErr w:type="spellEnd"/>
      <w:r>
        <w:rPr>
          <w:rFonts w:ascii="Arial" w:eastAsia="Arial" w:hAnsi="Arial" w:cs="Arial"/>
        </w:rPr>
        <w:t xml:space="preserve">-Bruce </w:t>
      </w:r>
      <w:proofErr w:type="spellStart"/>
      <w:r>
        <w:rPr>
          <w:rFonts w:ascii="Arial" w:eastAsia="Arial" w:hAnsi="Arial" w:cs="Arial"/>
        </w:rPr>
        <w:t>Pensinsula</w:t>
      </w:r>
      <w:proofErr w:type="spellEnd"/>
      <w:r>
        <w:rPr>
          <w:rFonts w:ascii="Arial" w:eastAsia="Arial" w:hAnsi="Arial" w:cs="Arial"/>
        </w:rPr>
        <w:t xml:space="preserve"> (21,11%), Kingston-Pembroke (20,20%) e </w:t>
      </w:r>
      <w:proofErr w:type="spellStart"/>
      <w:r>
        <w:rPr>
          <w:rFonts w:ascii="Arial" w:eastAsia="Arial" w:hAnsi="Arial" w:cs="Arial"/>
        </w:rPr>
        <w:t>Northeast</w:t>
      </w:r>
      <w:proofErr w:type="spellEnd"/>
      <w:r>
        <w:rPr>
          <w:rFonts w:ascii="Arial" w:eastAsia="Arial" w:hAnsi="Arial" w:cs="Arial"/>
        </w:rPr>
        <w:t xml:space="preserve"> (19,84%) que apresenta os maiores </w:t>
      </w:r>
      <w:r>
        <w:rPr>
          <w:rFonts w:ascii="Arial" w:eastAsia="Arial" w:hAnsi="Arial" w:cs="Arial"/>
        </w:rPr>
        <w:lastRenderedPageBreak/>
        <w:t>percentuais de envelhecimento, em contraste a região de Toronto apresenta a mais baixa porcentagem com apenas 14,08%.</w:t>
      </w:r>
    </w:p>
    <w:p w14:paraId="00000028"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rPr>
        <w:t xml:space="preserve">Os mapas 03 e 04 apresentam a mesma disposição de dados dos anteriores, mas evidenciando a distribuição dos francófonos, minoria linguística na província. Ottawa é a região com maior concentração, 233.288 pessoas, representando 18,21% da população total. A região </w:t>
      </w:r>
      <w:proofErr w:type="spellStart"/>
      <w:r>
        <w:rPr>
          <w:rFonts w:ascii="Arial" w:eastAsia="Arial" w:hAnsi="Arial" w:cs="Arial"/>
        </w:rPr>
        <w:t>Northeast</w:t>
      </w:r>
      <w:proofErr w:type="spellEnd"/>
      <w:r>
        <w:rPr>
          <w:rFonts w:ascii="Arial" w:eastAsia="Arial" w:hAnsi="Arial" w:cs="Arial"/>
        </w:rPr>
        <w:t xml:space="preserve"> possui a maior porcentagem de francófonos, 21,14%, o que totaliza 113.790 pessoas. Tal concentração se dá pelo fato de serem áreas de ocupação histórica das comunidades francófonas, anteriores à unificação do país e da criação da província.  </w:t>
      </w:r>
    </w:p>
    <w:p w14:paraId="12AC9698" w14:textId="77777777" w:rsidR="00BE2185" w:rsidRDefault="00BE2185">
      <w:pPr>
        <w:spacing w:before="120" w:after="120" w:line="240" w:lineRule="auto"/>
        <w:jc w:val="center"/>
        <w:rPr>
          <w:rFonts w:ascii="Arial" w:eastAsia="Arial" w:hAnsi="Arial" w:cs="Arial"/>
        </w:rPr>
      </w:pPr>
    </w:p>
    <w:p w14:paraId="0000002E" w14:textId="037DF855" w:rsidR="00E32736" w:rsidRDefault="00E1541E">
      <w:pPr>
        <w:spacing w:before="120" w:after="120" w:line="240" w:lineRule="auto"/>
        <w:jc w:val="center"/>
        <w:rPr>
          <w:rFonts w:ascii="Arial" w:eastAsia="Arial" w:hAnsi="Arial" w:cs="Arial"/>
        </w:rPr>
      </w:pPr>
      <w:r>
        <w:rPr>
          <w:rFonts w:ascii="Arial" w:eastAsia="Arial" w:hAnsi="Arial" w:cs="Arial"/>
        </w:rPr>
        <w:t xml:space="preserve">Mapas 03 e 04: Distribuição Espacial de Francófonos em Ontário, Canadá </w:t>
      </w:r>
    </w:p>
    <w:p w14:paraId="0000002F" w14:textId="77777777" w:rsidR="00E32736" w:rsidRDefault="00E1541E">
      <w:pPr>
        <w:tabs>
          <w:tab w:val="left" w:pos="1614"/>
        </w:tabs>
        <w:spacing w:before="120" w:after="120" w:line="240" w:lineRule="auto"/>
        <w:jc w:val="both"/>
        <w:rPr>
          <w:rFonts w:ascii="Arial" w:eastAsia="Arial" w:hAnsi="Arial" w:cs="Arial"/>
        </w:rPr>
      </w:pPr>
      <w:r>
        <w:rPr>
          <w:noProof/>
        </w:rPr>
        <w:drawing>
          <wp:anchor distT="0" distB="0" distL="0" distR="0" simplePos="0" relativeHeight="251659264" behindDoc="0" locked="0" layoutInCell="1" hidden="0" allowOverlap="1">
            <wp:simplePos x="0" y="0"/>
            <wp:positionH relativeFrom="column">
              <wp:posOffset>0</wp:posOffset>
            </wp:positionH>
            <wp:positionV relativeFrom="paragraph">
              <wp:posOffset>635</wp:posOffset>
            </wp:positionV>
            <wp:extent cx="5760085" cy="3726815"/>
            <wp:effectExtent l="0" t="0" r="0" b="0"/>
            <wp:wrapSquare wrapText="bothSides" distT="0" distB="0" distL="0" distR="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60085" cy="3726815"/>
                    </a:xfrm>
                    <a:prstGeom prst="rect">
                      <a:avLst/>
                    </a:prstGeom>
                    <a:ln/>
                  </pic:spPr>
                </pic:pic>
              </a:graphicData>
            </a:graphic>
          </wp:anchor>
        </w:drawing>
      </w:r>
    </w:p>
    <w:p w14:paraId="00000030" w14:textId="77777777" w:rsidR="00E32736" w:rsidRDefault="00E1541E">
      <w:pPr>
        <w:tabs>
          <w:tab w:val="left" w:pos="1614"/>
        </w:tabs>
        <w:spacing w:before="120" w:after="120" w:line="240" w:lineRule="auto"/>
        <w:jc w:val="both"/>
        <w:rPr>
          <w:rFonts w:ascii="Arial" w:eastAsia="Arial" w:hAnsi="Arial" w:cs="Arial"/>
        </w:rPr>
      </w:pPr>
      <w:r>
        <w:rPr>
          <w:rFonts w:ascii="Arial" w:eastAsia="Arial" w:hAnsi="Arial" w:cs="Arial"/>
          <w:u w:val="single"/>
        </w:rPr>
        <w:t>Análise Comparativa: Índice Minoria/Maioria Linguística</w:t>
      </w:r>
    </w:p>
    <w:p w14:paraId="00000031" w14:textId="77777777" w:rsidR="00E32736" w:rsidRDefault="00E1541E">
      <w:pPr>
        <w:tabs>
          <w:tab w:val="left" w:pos="1614"/>
        </w:tabs>
        <w:spacing w:before="120" w:after="120" w:line="240" w:lineRule="auto"/>
        <w:ind w:firstLine="1134"/>
        <w:jc w:val="both"/>
        <w:rPr>
          <w:rFonts w:ascii="Arial" w:eastAsia="Arial" w:hAnsi="Arial" w:cs="Arial"/>
        </w:rPr>
      </w:pPr>
      <w:r>
        <w:rPr>
          <w:rFonts w:ascii="Arial" w:eastAsia="Arial" w:hAnsi="Arial" w:cs="Arial"/>
        </w:rPr>
        <w:t xml:space="preserve">A análise comparativa que esse trabalho se propõe é de apresentar as disparidades entre a condição de vida das minorias linguísticas em Ontário em relação aos seus pares anglófonos. Os dados apresentados por região econômica auxiliam nessa constatação da desigualdade entre duas populações que habitam o mesmo espaço, porém fazem usos diferentes do território. Renda e educação são bons indicadores das condições de vida de uma população. O primeiro é uma boa referência das condições financeiras e, </w:t>
      </w:r>
      <w:r>
        <w:rPr>
          <w:rFonts w:ascii="Arial" w:eastAsia="Arial" w:hAnsi="Arial" w:cs="Arial"/>
        </w:rPr>
        <w:lastRenderedPageBreak/>
        <w:t>consequentemente, de consumo e moradia. Já o segundo ap</w:t>
      </w:r>
      <w:r>
        <w:rPr>
          <w:rFonts w:ascii="Arial" w:eastAsia="Arial" w:hAnsi="Arial" w:cs="Arial"/>
          <w:color w:val="000000"/>
        </w:rPr>
        <w:t>onta</w:t>
      </w:r>
      <w:r>
        <w:rPr>
          <w:rFonts w:ascii="Arial" w:eastAsia="Arial" w:hAnsi="Arial" w:cs="Arial"/>
        </w:rPr>
        <w:t xml:space="preserve"> a</w:t>
      </w:r>
      <w:r>
        <w:rPr>
          <w:rFonts w:ascii="Arial" w:eastAsia="Arial" w:hAnsi="Arial" w:cs="Arial"/>
          <w:color w:val="000000"/>
        </w:rPr>
        <w:t>s capacidades formais</w:t>
      </w:r>
      <w:r>
        <w:rPr>
          <w:rFonts w:ascii="Arial" w:eastAsia="Arial" w:hAnsi="Arial" w:cs="Arial"/>
        </w:rPr>
        <w:t xml:space="preserve"> dessa população no acesso, compreensão e tomada de decisão acerca de suas vidas.</w:t>
      </w:r>
    </w:p>
    <w:p w14:paraId="00000032" w14:textId="77777777" w:rsidR="00E32736" w:rsidRDefault="00E1541E">
      <w:pPr>
        <w:tabs>
          <w:tab w:val="left" w:pos="1614"/>
        </w:tabs>
        <w:spacing w:before="120" w:after="120" w:line="240" w:lineRule="auto"/>
        <w:ind w:firstLine="1134"/>
        <w:jc w:val="both"/>
        <w:rPr>
          <w:rFonts w:ascii="Arial" w:eastAsia="Arial" w:hAnsi="Arial" w:cs="Arial"/>
        </w:rPr>
      </w:pPr>
      <w:r>
        <w:rPr>
          <w:rFonts w:ascii="Arial" w:eastAsia="Arial" w:hAnsi="Arial" w:cs="Arial"/>
        </w:rPr>
        <w:t xml:space="preserve">Acerca do Índice Minoria/Maioria (IMM) linguística, os resultados foram calculados a partir da razão entre os indicadores da população idosa francófona (minoria) sobre a anglófona (maioria). </w:t>
      </w:r>
      <w:proofErr w:type="gramStart"/>
      <w:r>
        <w:rPr>
          <w:rFonts w:ascii="Arial" w:eastAsia="Arial" w:hAnsi="Arial" w:cs="Arial"/>
        </w:rPr>
        <w:t>Os valores representados no mapa com cores quentes (vermelho e laranja) simboliza</w:t>
      </w:r>
      <w:proofErr w:type="gramEnd"/>
      <w:r>
        <w:rPr>
          <w:rFonts w:ascii="Arial" w:eastAsia="Arial" w:hAnsi="Arial" w:cs="Arial"/>
        </w:rPr>
        <w:t xml:space="preserve"> as situações </w:t>
      </w:r>
      <w:r>
        <w:rPr>
          <w:rFonts w:ascii="Arial" w:eastAsia="Arial" w:hAnsi="Arial" w:cs="Arial"/>
          <w:color w:val="000000"/>
        </w:rPr>
        <w:t>em que há uma desigualdade adversa à minoria</w:t>
      </w:r>
      <w:r>
        <w:rPr>
          <w:rFonts w:ascii="Arial" w:eastAsia="Arial" w:hAnsi="Arial" w:cs="Arial"/>
        </w:rPr>
        <w:t xml:space="preserve"> e as cores frias (cinza e azul) uma desigualdade favorável. Sendo assim, independentemente da direcionalidade do indicador, ou seja, se esse o seu valor é favorável ou desfavorável quando maior, as cores mantêm o seu significado semiótico. As classes foram divididas seguindo uma lógica de intensidade de discrepância. As classes extremas foram determinadas a partir de resultados com variação superior a 0,2 (menores que 0,8 e maiores que 1,2). As classes intermediárias foram determinadas com resultados variantes em menos de 0,2 e mais de 0,05 (0,8 – 0,95 e 1,05 – 1,20). A classe central em que há um resultado entre 0,95 e 1,05 foi considerada condição semelhante entre a minoria e maioria, representado com </w:t>
      </w:r>
      <w:proofErr w:type="gramStart"/>
      <w:r>
        <w:rPr>
          <w:rFonts w:ascii="Arial" w:eastAsia="Arial" w:hAnsi="Arial" w:cs="Arial"/>
        </w:rPr>
        <w:t>a cor amarela</w:t>
      </w:r>
      <w:proofErr w:type="gramEnd"/>
      <w:r>
        <w:rPr>
          <w:rFonts w:ascii="Arial" w:eastAsia="Arial" w:hAnsi="Arial" w:cs="Arial"/>
        </w:rPr>
        <w:t xml:space="preserve">. </w:t>
      </w:r>
    </w:p>
    <w:p w14:paraId="00000033" w14:textId="77777777" w:rsidR="00E32736" w:rsidRDefault="00E32736">
      <w:pPr>
        <w:tabs>
          <w:tab w:val="left" w:pos="1614"/>
        </w:tabs>
        <w:spacing w:before="120" w:after="120" w:line="240" w:lineRule="auto"/>
        <w:ind w:firstLine="1134"/>
        <w:jc w:val="both"/>
        <w:rPr>
          <w:rFonts w:ascii="Arial" w:eastAsia="Arial" w:hAnsi="Arial" w:cs="Arial"/>
        </w:rPr>
      </w:pPr>
    </w:p>
    <w:p w14:paraId="00000034" w14:textId="77777777" w:rsidR="00E32736" w:rsidRDefault="00E1541E">
      <w:pPr>
        <w:spacing w:before="120" w:after="120" w:line="240" w:lineRule="auto"/>
        <w:jc w:val="both"/>
        <w:rPr>
          <w:rFonts w:ascii="Arial" w:eastAsia="Arial" w:hAnsi="Arial" w:cs="Arial"/>
          <w:i/>
        </w:rPr>
      </w:pPr>
      <w:r>
        <w:rPr>
          <w:rFonts w:ascii="Arial" w:eastAsia="Arial" w:hAnsi="Arial" w:cs="Arial"/>
          <w:i/>
        </w:rPr>
        <w:t>Renda</w:t>
      </w:r>
    </w:p>
    <w:p w14:paraId="00000035"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rPr>
        <w:t xml:space="preserve">Os </w:t>
      </w:r>
      <w:r>
        <w:rPr>
          <w:rFonts w:ascii="Arial" w:eastAsia="Arial" w:hAnsi="Arial" w:cs="Arial"/>
          <w:color w:val="000000"/>
        </w:rPr>
        <w:t>valores</w:t>
      </w:r>
      <w:r>
        <w:rPr>
          <w:rFonts w:ascii="Arial" w:eastAsia="Arial" w:hAnsi="Arial" w:cs="Arial"/>
        </w:rPr>
        <w:t xml:space="preserve"> de renda apresentados na tabela 01, </w:t>
      </w:r>
      <w:r>
        <w:rPr>
          <w:rFonts w:ascii="Arial" w:eastAsia="Arial" w:hAnsi="Arial" w:cs="Arial"/>
          <w:color w:val="000000"/>
        </w:rPr>
        <w:t xml:space="preserve">descrevem </w:t>
      </w:r>
      <w:r>
        <w:rPr>
          <w:rFonts w:ascii="Arial" w:eastAsia="Arial" w:hAnsi="Arial" w:cs="Arial"/>
        </w:rPr>
        <w:t xml:space="preserve">dados referentes ao rendimento médio anual individual e a porcentagem da população com renda anual menor que 20.000 dólares de idosos anglófonos e francófonos. É possível verificar inicialmente que há uma considerável elevação dos rendimentos médios nas regiões de Ottawa e Toronto, áreas mais desenvolvidas da província, além de serem sedes do governo federal e provincial, respectivamente. Além disso, é possível notar que em </w:t>
      </w:r>
      <w:proofErr w:type="gramStart"/>
      <w:r>
        <w:rPr>
          <w:rFonts w:ascii="Arial" w:eastAsia="Arial" w:hAnsi="Arial" w:cs="Arial"/>
        </w:rPr>
        <w:t>todas regiões</w:t>
      </w:r>
      <w:proofErr w:type="gramEnd"/>
      <w:r>
        <w:rPr>
          <w:rFonts w:ascii="Arial" w:eastAsia="Arial" w:hAnsi="Arial" w:cs="Arial"/>
        </w:rPr>
        <w:t xml:space="preserve"> econômicas, os francófonos ganham, em média, menos que os anglófonos. Províncias como </w:t>
      </w:r>
      <w:proofErr w:type="spellStart"/>
      <w:r>
        <w:rPr>
          <w:rFonts w:ascii="Arial" w:eastAsia="Arial" w:hAnsi="Arial" w:cs="Arial"/>
        </w:rPr>
        <w:t>Stratford</w:t>
      </w:r>
      <w:proofErr w:type="spellEnd"/>
      <w:r>
        <w:rPr>
          <w:rFonts w:ascii="Arial" w:eastAsia="Arial" w:hAnsi="Arial" w:cs="Arial"/>
        </w:rPr>
        <w:t xml:space="preserve">-Bruce </w:t>
      </w:r>
      <w:proofErr w:type="spellStart"/>
      <w:r>
        <w:rPr>
          <w:rFonts w:ascii="Arial" w:eastAsia="Arial" w:hAnsi="Arial" w:cs="Arial"/>
        </w:rPr>
        <w:t>Pensinsula</w:t>
      </w:r>
      <w:proofErr w:type="spellEnd"/>
      <w:r>
        <w:rPr>
          <w:rFonts w:ascii="Arial" w:eastAsia="Arial" w:hAnsi="Arial" w:cs="Arial"/>
        </w:rPr>
        <w:t xml:space="preserve">, em média, os francófonos idosos recebem 17,13% a menos que os anglófonos. Acerca dos indivíduos considerados de baixa renda, aqueles com rendimento anual inferior a 20.000 dólares por ano, apenas em Kingston-Pembroke e Toronto há, percentualmente, mais anglófonos nessa situação. </w:t>
      </w:r>
    </w:p>
    <w:p w14:paraId="00000036" w14:textId="77777777" w:rsidR="00E32736" w:rsidRDefault="00E1541E">
      <w:pPr>
        <w:spacing w:before="120" w:after="120" w:line="240" w:lineRule="auto"/>
        <w:jc w:val="center"/>
        <w:rPr>
          <w:rFonts w:ascii="Arial" w:eastAsia="Arial" w:hAnsi="Arial" w:cs="Arial"/>
        </w:rPr>
      </w:pPr>
      <w:r>
        <w:rPr>
          <w:rFonts w:ascii="Arial" w:eastAsia="Arial" w:hAnsi="Arial" w:cs="Arial"/>
        </w:rPr>
        <w:t>Tabela 01: Renda de Idosos Anglófonos e Francófonos em Ontário, Canadá</w:t>
      </w:r>
    </w:p>
    <w:tbl>
      <w:tblPr>
        <w:tblStyle w:val="a"/>
        <w:tblW w:w="912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00"/>
        <w:gridCol w:w="1680"/>
        <w:gridCol w:w="1680"/>
        <w:gridCol w:w="1680"/>
        <w:gridCol w:w="1680"/>
      </w:tblGrid>
      <w:tr w:rsidR="00E32736" w14:paraId="3B43B06C" w14:textId="77777777">
        <w:trPr>
          <w:trHeight w:val="567"/>
        </w:trPr>
        <w:tc>
          <w:tcPr>
            <w:tcW w:w="2400" w:type="dxa"/>
            <w:vMerge w:val="restart"/>
            <w:vAlign w:val="center"/>
          </w:tcPr>
          <w:p w14:paraId="00000037" w14:textId="77777777" w:rsidR="00E32736" w:rsidRDefault="00E1541E">
            <w:pPr>
              <w:widowControl w:val="0"/>
              <w:spacing w:after="0"/>
              <w:jc w:val="center"/>
              <w:rPr>
                <w:rFonts w:ascii="Arial" w:eastAsia="Arial" w:hAnsi="Arial" w:cs="Arial"/>
                <w:sz w:val="18"/>
                <w:szCs w:val="18"/>
              </w:rPr>
            </w:pPr>
            <w:r>
              <w:rPr>
                <w:rFonts w:ascii="Arial" w:eastAsia="Arial" w:hAnsi="Arial" w:cs="Arial"/>
                <w:b/>
                <w:sz w:val="18"/>
                <w:szCs w:val="18"/>
              </w:rPr>
              <w:t>Região Econômica</w:t>
            </w:r>
          </w:p>
        </w:tc>
        <w:tc>
          <w:tcPr>
            <w:tcW w:w="3360" w:type="dxa"/>
            <w:gridSpan w:val="2"/>
            <w:vAlign w:val="center"/>
          </w:tcPr>
          <w:p w14:paraId="00000038"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Renda média individual anual (após impostos) em 2015</w:t>
            </w:r>
          </w:p>
        </w:tc>
        <w:tc>
          <w:tcPr>
            <w:tcW w:w="3360" w:type="dxa"/>
            <w:gridSpan w:val="2"/>
            <w:vAlign w:val="center"/>
          </w:tcPr>
          <w:p w14:paraId="0000003A"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Indivíduos com renda anual (após impostos) inferior a $20.000,00 (%)</w:t>
            </w:r>
          </w:p>
        </w:tc>
      </w:tr>
      <w:tr w:rsidR="00E32736" w14:paraId="2ED3E3F2" w14:textId="77777777">
        <w:trPr>
          <w:trHeight w:val="397"/>
        </w:trPr>
        <w:tc>
          <w:tcPr>
            <w:tcW w:w="2400" w:type="dxa"/>
            <w:vMerge/>
            <w:vAlign w:val="center"/>
          </w:tcPr>
          <w:p w14:paraId="0000003C" w14:textId="77777777" w:rsidR="00E32736" w:rsidRDefault="00E32736">
            <w:pPr>
              <w:widowControl w:val="0"/>
              <w:pBdr>
                <w:top w:val="nil"/>
                <w:left w:val="nil"/>
                <w:bottom w:val="nil"/>
                <w:right w:val="nil"/>
                <w:between w:val="nil"/>
              </w:pBdr>
              <w:spacing w:after="0"/>
              <w:rPr>
                <w:rFonts w:ascii="Times New Roman" w:eastAsia="Times New Roman" w:hAnsi="Times New Roman" w:cs="Times New Roman"/>
                <w:sz w:val="18"/>
                <w:szCs w:val="18"/>
              </w:rPr>
            </w:pPr>
          </w:p>
        </w:tc>
        <w:tc>
          <w:tcPr>
            <w:tcW w:w="1680" w:type="dxa"/>
            <w:vAlign w:val="center"/>
          </w:tcPr>
          <w:p w14:paraId="0000003D"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Anglófonos</w:t>
            </w:r>
          </w:p>
        </w:tc>
        <w:tc>
          <w:tcPr>
            <w:tcW w:w="1680" w:type="dxa"/>
            <w:vAlign w:val="center"/>
          </w:tcPr>
          <w:p w14:paraId="0000003E"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Francófonos</w:t>
            </w:r>
          </w:p>
        </w:tc>
        <w:tc>
          <w:tcPr>
            <w:tcW w:w="1680" w:type="dxa"/>
            <w:vAlign w:val="center"/>
          </w:tcPr>
          <w:p w14:paraId="0000003F"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Anglófonos</w:t>
            </w:r>
          </w:p>
        </w:tc>
        <w:tc>
          <w:tcPr>
            <w:tcW w:w="1680" w:type="dxa"/>
            <w:vAlign w:val="center"/>
          </w:tcPr>
          <w:p w14:paraId="00000040"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Francófonos</w:t>
            </w:r>
          </w:p>
        </w:tc>
      </w:tr>
      <w:tr w:rsidR="00E32736" w14:paraId="11DC840C" w14:textId="77777777">
        <w:trPr>
          <w:trHeight w:val="397"/>
        </w:trPr>
        <w:tc>
          <w:tcPr>
            <w:tcW w:w="2400" w:type="dxa"/>
            <w:vAlign w:val="center"/>
          </w:tcPr>
          <w:p w14:paraId="00000041" w14:textId="77777777" w:rsidR="00E32736" w:rsidRDefault="00E1541E">
            <w:pPr>
              <w:widowControl w:val="0"/>
              <w:rPr>
                <w:rFonts w:ascii="Arial" w:eastAsia="Arial" w:hAnsi="Arial" w:cs="Arial"/>
                <w:sz w:val="18"/>
                <w:szCs w:val="18"/>
              </w:rPr>
            </w:pPr>
            <w:r>
              <w:rPr>
                <w:rFonts w:ascii="Arial" w:eastAsia="Arial" w:hAnsi="Arial" w:cs="Arial"/>
                <w:sz w:val="18"/>
                <w:szCs w:val="18"/>
              </w:rPr>
              <w:t>Ottawa</w:t>
            </w:r>
          </w:p>
        </w:tc>
        <w:tc>
          <w:tcPr>
            <w:tcW w:w="1680" w:type="dxa"/>
            <w:vAlign w:val="center"/>
          </w:tcPr>
          <w:p w14:paraId="00000042"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$41.822,81</w:t>
            </w:r>
          </w:p>
        </w:tc>
        <w:tc>
          <w:tcPr>
            <w:tcW w:w="1680" w:type="dxa"/>
            <w:vAlign w:val="center"/>
          </w:tcPr>
          <w:p w14:paraId="00000043"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$38.362,49</w:t>
            </w:r>
          </w:p>
        </w:tc>
        <w:tc>
          <w:tcPr>
            <w:tcW w:w="1680" w:type="dxa"/>
            <w:vAlign w:val="center"/>
          </w:tcPr>
          <w:p w14:paraId="00000044"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25,10%</w:t>
            </w:r>
          </w:p>
        </w:tc>
        <w:tc>
          <w:tcPr>
            <w:tcW w:w="1680" w:type="dxa"/>
            <w:vAlign w:val="center"/>
          </w:tcPr>
          <w:p w14:paraId="00000045"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27,93%</w:t>
            </w:r>
          </w:p>
        </w:tc>
      </w:tr>
      <w:tr w:rsidR="00E32736" w14:paraId="53C27EA0" w14:textId="77777777">
        <w:trPr>
          <w:trHeight w:val="397"/>
        </w:trPr>
        <w:tc>
          <w:tcPr>
            <w:tcW w:w="2400" w:type="dxa"/>
            <w:vAlign w:val="center"/>
          </w:tcPr>
          <w:p w14:paraId="00000046" w14:textId="77777777" w:rsidR="00E32736" w:rsidRDefault="00E1541E">
            <w:pPr>
              <w:widowControl w:val="0"/>
              <w:rPr>
                <w:rFonts w:ascii="Arial" w:eastAsia="Arial" w:hAnsi="Arial" w:cs="Arial"/>
                <w:sz w:val="18"/>
                <w:szCs w:val="18"/>
              </w:rPr>
            </w:pPr>
            <w:r>
              <w:rPr>
                <w:rFonts w:ascii="Arial" w:eastAsia="Arial" w:hAnsi="Arial" w:cs="Arial"/>
                <w:sz w:val="18"/>
                <w:szCs w:val="18"/>
              </w:rPr>
              <w:t>Kingston-Pembroke</w:t>
            </w:r>
          </w:p>
        </w:tc>
        <w:tc>
          <w:tcPr>
            <w:tcW w:w="1680" w:type="dxa"/>
            <w:vAlign w:val="center"/>
          </w:tcPr>
          <w:p w14:paraId="00000047"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$35.384,72</w:t>
            </w:r>
          </w:p>
        </w:tc>
        <w:tc>
          <w:tcPr>
            <w:tcW w:w="1680" w:type="dxa"/>
            <w:vAlign w:val="center"/>
          </w:tcPr>
          <w:p w14:paraId="00000048"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$35.072,49</w:t>
            </w:r>
          </w:p>
        </w:tc>
        <w:tc>
          <w:tcPr>
            <w:tcW w:w="1680" w:type="dxa"/>
            <w:vAlign w:val="center"/>
          </w:tcPr>
          <w:p w14:paraId="00000049"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28,35%</w:t>
            </w:r>
          </w:p>
        </w:tc>
        <w:tc>
          <w:tcPr>
            <w:tcW w:w="1680" w:type="dxa"/>
            <w:vAlign w:val="center"/>
          </w:tcPr>
          <w:p w14:paraId="0000004A"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25,46%</w:t>
            </w:r>
          </w:p>
        </w:tc>
      </w:tr>
      <w:tr w:rsidR="00E32736" w14:paraId="678097CA" w14:textId="77777777">
        <w:trPr>
          <w:trHeight w:val="397"/>
        </w:trPr>
        <w:tc>
          <w:tcPr>
            <w:tcW w:w="2400" w:type="dxa"/>
            <w:vAlign w:val="center"/>
          </w:tcPr>
          <w:p w14:paraId="0000004B" w14:textId="77777777" w:rsidR="00E32736" w:rsidRDefault="00E1541E">
            <w:pPr>
              <w:widowControl w:val="0"/>
              <w:rPr>
                <w:rFonts w:ascii="Arial" w:eastAsia="Arial" w:hAnsi="Arial" w:cs="Arial"/>
                <w:sz w:val="18"/>
                <w:szCs w:val="18"/>
              </w:rPr>
            </w:pPr>
            <w:proofErr w:type="spellStart"/>
            <w:r>
              <w:rPr>
                <w:rFonts w:ascii="Arial" w:eastAsia="Arial" w:hAnsi="Arial" w:cs="Arial"/>
                <w:sz w:val="18"/>
                <w:szCs w:val="18"/>
              </w:rPr>
              <w:t>Muskoka-Kawarthas</w:t>
            </w:r>
            <w:proofErr w:type="spellEnd"/>
          </w:p>
        </w:tc>
        <w:tc>
          <w:tcPr>
            <w:tcW w:w="1680" w:type="dxa"/>
            <w:vAlign w:val="center"/>
          </w:tcPr>
          <w:p w14:paraId="0000004C"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$35.327,77</w:t>
            </w:r>
          </w:p>
        </w:tc>
        <w:tc>
          <w:tcPr>
            <w:tcW w:w="1680" w:type="dxa"/>
            <w:vAlign w:val="center"/>
          </w:tcPr>
          <w:p w14:paraId="0000004D"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$33.083,48</w:t>
            </w:r>
          </w:p>
        </w:tc>
        <w:tc>
          <w:tcPr>
            <w:tcW w:w="1680" w:type="dxa"/>
            <w:vAlign w:val="center"/>
          </w:tcPr>
          <w:p w14:paraId="0000004E"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27,70%</w:t>
            </w:r>
          </w:p>
        </w:tc>
        <w:tc>
          <w:tcPr>
            <w:tcW w:w="1680" w:type="dxa"/>
            <w:vAlign w:val="center"/>
          </w:tcPr>
          <w:p w14:paraId="0000004F"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33,98%</w:t>
            </w:r>
          </w:p>
        </w:tc>
      </w:tr>
      <w:tr w:rsidR="00E32736" w14:paraId="4B4C0E27" w14:textId="77777777">
        <w:trPr>
          <w:trHeight w:val="397"/>
        </w:trPr>
        <w:tc>
          <w:tcPr>
            <w:tcW w:w="2400" w:type="dxa"/>
            <w:vAlign w:val="center"/>
          </w:tcPr>
          <w:p w14:paraId="00000050" w14:textId="77777777" w:rsidR="00E32736" w:rsidRDefault="00E1541E">
            <w:pPr>
              <w:widowControl w:val="0"/>
              <w:rPr>
                <w:rFonts w:ascii="Arial" w:eastAsia="Arial" w:hAnsi="Arial" w:cs="Arial"/>
                <w:sz w:val="18"/>
                <w:szCs w:val="18"/>
              </w:rPr>
            </w:pPr>
            <w:r>
              <w:rPr>
                <w:rFonts w:ascii="Arial" w:eastAsia="Arial" w:hAnsi="Arial" w:cs="Arial"/>
                <w:sz w:val="18"/>
                <w:szCs w:val="18"/>
              </w:rPr>
              <w:lastRenderedPageBreak/>
              <w:t>Toronto</w:t>
            </w:r>
          </w:p>
        </w:tc>
        <w:tc>
          <w:tcPr>
            <w:tcW w:w="1680" w:type="dxa"/>
            <w:vAlign w:val="center"/>
          </w:tcPr>
          <w:p w14:paraId="00000051"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$40.578,80</w:t>
            </w:r>
          </w:p>
        </w:tc>
        <w:tc>
          <w:tcPr>
            <w:tcW w:w="1680" w:type="dxa"/>
            <w:vAlign w:val="center"/>
          </w:tcPr>
          <w:p w14:paraId="00000052"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$40.272,34</w:t>
            </w:r>
          </w:p>
        </w:tc>
        <w:tc>
          <w:tcPr>
            <w:tcW w:w="1680" w:type="dxa"/>
            <w:vAlign w:val="center"/>
          </w:tcPr>
          <w:p w14:paraId="00000053"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30,95%</w:t>
            </w:r>
          </w:p>
        </w:tc>
        <w:tc>
          <w:tcPr>
            <w:tcW w:w="1680" w:type="dxa"/>
            <w:vAlign w:val="center"/>
          </w:tcPr>
          <w:p w14:paraId="00000054"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29,94%</w:t>
            </w:r>
          </w:p>
        </w:tc>
      </w:tr>
      <w:tr w:rsidR="00E32736" w14:paraId="3FC7CBFB" w14:textId="77777777">
        <w:trPr>
          <w:trHeight w:val="397"/>
        </w:trPr>
        <w:tc>
          <w:tcPr>
            <w:tcW w:w="2400" w:type="dxa"/>
            <w:vAlign w:val="center"/>
          </w:tcPr>
          <w:p w14:paraId="00000055" w14:textId="77777777" w:rsidR="00E32736" w:rsidRDefault="00E1541E">
            <w:pPr>
              <w:widowControl w:val="0"/>
              <w:rPr>
                <w:rFonts w:ascii="Arial" w:eastAsia="Arial" w:hAnsi="Arial" w:cs="Arial"/>
                <w:sz w:val="18"/>
                <w:szCs w:val="18"/>
              </w:rPr>
            </w:pPr>
            <w:r>
              <w:rPr>
                <w:rFonts w:ascii="Arial" w:eastAsia="Arial" w:hAnsi="Arial" w:cs="Arial"/>
                <w:sz w:val="18"/>
                <w:szCs w:val="18"/>
              </w:rPr>
              <w:t>Kitchener-Waterloo-</w:t>
            </w:r>
            <w:proofErr w:type="spellStart"/>
            <w:r>
              <w:rPr>
                <w:rFonts w:ascii="Arial" w:eastAsia="Arial" w:hAnsi="Arial" w:cs="Arial"/>
                <w:sz w:val="18"/>
                <w:szCs w:val="18"/>
              </w:rPr>
              <w:t>Barrie</w:t>
            </w:r>
            <w:proofErr w:type="spellEnd"/>
          </w:p>
        </w:tc>
        <w:tc>
          <w:tcPr>
            <w:tcW w:w="1680" w:type="dxa"/>
            <w:vAlign w:val="center"/>
          </w:tcPr>
          <w:p w14:paraId="00000056"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$36.300,74</w:t>
            </w:r>
          </w:p>
        </w:tc>
        <w:tc>
          <w:tcPr>
            <w:tcW w:w="1680" w:type="dxa"/>
            <w:vAlign w:val="center"/>
          </w:tcPr>
          <w:p w14:paraId="00000057"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$34.729,87</w:t>
            </w:r>
          </w:p>
        </w:tc>
        <w:tc>
          <w:tcPr>
            <w:tcW w:w="1680" w:type="dxa"/>
            <w:vAlign w:val="center"/>
          </w:tcPr>
          <w:p w14:paraId="00000058"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26,74%</w:t>
            </w:r>
          </w:p>
        </w:tc>
        <w:tc>
          <w:tcPr>
            <w:tcW w:w="1680" w:type="dxa"/>
            <w:vAlign w:val="center"/>
          </w:tcPr>
          <w:p w14:paraId="00000059"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32,17%</w:t>
            </w:r>
          </w:p>
        </w:tc>
      </w:tr>
      <w:tr w:rsidR="00E32736" w14:paraId="6EE91F8B" w14:textId="77777777">
        <w:trPr>
          <w:trHeight w:val="397"/>
        </w:trPr>
        <w:tc>
          <w:tcPr>
            <w:tcW w:w="2400" w:type="dxa"/>
            <w:vAlign w:val="center"/>
          </w:tcPr>
          <w:p w14:paraId="0000005A" w14:textId="77777777" w:rsidR="00E32736" w:rsidRDefault="00E1541E">
            <w:pPr>
              <w:widowControl w:val="0"/>
              <w:rPr>
                <w:rFonts w:ascii="Arial" w:eastAsia="Arial" w:hAnsi="Arial" w:cs="Arial"/>
                <w:sz w:val="18"/>
                <w:szCs w:val="18"/>
              </w:rPr>
            </w:pPr>
            <w:r>
              <w:rPr>
                <w:rFonts w:ascii="Arial" w:eastAsia="Arial" w:hAnsi="Arial" w:cs="Arial"/>
                <w:sz w:val="18"/>
                <w:szCs w:val="18"/>
              </w:rPr>
              <w:t xml:space="preserve">Hamilton-Niagara </w:t>
            </w:r>
            <w:proofErr w:type="spellStart"/>
            <w:r>
              <w:rPr>
                <w:rFonts w:ascii="Arial" w:eastAsia="Arial" w:hAnsi="Arial" w:cs="Arial"/>
                <w:sz w:val="18"/>
                <w:szCs w:val="18"/>
              </w:rPr>
              <w:t>Peninsula</w:t>
            </w:r>
            <w:proofErr w:type="spellEnd"/>
          </w:p>
        </w:tc>
        <w:tc>
          <w:tcPr>
            <w:tcW w:w="1680" w:type="dxa"/>
            <w:vAlign w:val="center"/>
          </w:tcPr>
          <w:p w14:paraId="0000005B"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$34.876,11</w:t>
            </w:r>
          </w:p>
        </w:tc>
        <w:tc>
          <w:tcPr>
            <w:tcW w:w="1680" w:type="dxa"/>
            <w:vAlign w:val="center"/>
          </w:tcPr>
          <w:p w14:paraId="0000005C"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$31.560,49</w:t>
            </w:r>
          </w:p>
        </w:tc>
        <w:tc>
          <w:tcPr>
            <w:tcW w:w="1680" w:type="dxa"/>
            <w:vAlign w:val="center"/>
          </w:tcPr>
          <w:p w14:paraId="0000005D"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27,04%</w:t>
            </w:r>
          </w:p>
        </w:tc>
        <w:tc>
          <w:tcPr>
            <w:tcW w:w="1680" w:type="dxa"/>
            <w:vAlign w:val="center"/>
          </w:tcPr>
          <w:p w14:paraId="0000005E"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33,97%</w:t>
            </w:r>
          </w:p>
        </w:tc>
      </w:tr>
      <w:tr w:rsidR="00E32736" w14:paraId="006BFCA7" w14:textId="77777777">
        <w:trPr>
          <w:trHeight w:val="397"/>
        </w:trPr>
        <w:tc>
          <w:tcPr>
            <w:tcW w:w="2400" w:type="dxa"/>
            <w:vAlign w:val="center"/>
          </w:tcPr>
          <w:p w14:paraId="0000005F" w14:textId="77777777" w:rsidR="00E32736" w:rsidRDefault="00E1541E">
            <w:pPr>
              <w:widowControl w:val="0"/>
              <w:rPr>
                <w:rFonts w:ascii="Arial" w:eastAsia="Arial" w:hAnsi="Arial" w:cs="Arial"/>
                <w:sz w:val="18"/>
                <w:szCs w:val="18"/>
              </w:rPr>
            </w:pPr>
            <w:r>
              <w:rPr>
                <w:rFonts w:ascii="Arial" w:eastAsia="Arial" w:hAnsi="Arial" w:cs="Arial"/>
                <w:sz w:val="18"/>
                <w:szCs w:val="18"/>
              </w:rPr>
              <w:t>London</w:t>
            </w:r>
          </w:p>
        </w:tc>
        <w:tc>
          <w:tcPr>
            <w:tcW w:w="1680" w:type="dxa"/>
            <w:vAlign w:val="center"/>
          </w:tcPr>
          <w:p w14:paraId="00000060"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$35.962,77</w:t>
            </w:r>
          </w:p>
        </w:tc>
        <w:tc>
          <w:tcPr>
            <w:tcW w:w="1680" w:type="dxa"/>
            <w:vAlign w:val="center"/>
          </w:tcPr>
          <w:p w14:paraId="00000061"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$32.592,47</w:t>
            </w:r>
          </w:p>
        </w:tc>
        <w:tc>
          <w:tcPr>
            <w:tcW w:w="1680" w:type="dxa"/>
            <w:vAlign w:val="center"/>
          </w:tcPr>
          <w:p w14:paraId="00000062"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26,68%</w:t>
            </w:r>
          </w:p>
        </w:tc>
        <w:tc>
          <w:tcPr>
            <w:tcW w:w="1680" w:type="dxa"/>
            <w:vAlign w:val="center"/>
          </w:tcPr>
          <w:p w14:paraId="00000063"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27,46%</w:t>
            </w:r>
          </w:p>
        </w:tc>
      </w:tr>
      <w:tr w:rsidR="00E32736" w14:paraId="49C84E89" w14:textId="77777777">
        <w:trPr>
          <w:trHeight w:val="397"/>
        </w:trPr>
        <w:tc>
          <w:tcPr>
            <w:tcW w:w="2400" w:type="dxa"/>
            <w:vAlign w:val="center"/>
          </w:tcPr>
          <w:p w14:paraId="00000064" w14:textId="77777777" w:rsidR="00E32736" w:rsidRDefault="00E1541E">
            <w:pPr>
              <w:widowControl w:val="0"/>
              <w:rPr>
                <w:rFonts w:ascii="Arial" w:eastAsia="Arial" w:hAnsi="Arial" w:cs="Arial"/>
                <w:sz w:val="18"/>
                <w:szCs w:val="18"/>
              </w:rPr>
            </w:pPr>
            <w:r>
              <w:rPr>
                <w:rFonts w:ascii="Arial" w:eastAsia="Arial" w:hAnsi="Arial" w:cs="Arial"/>
                <w:sz w:val="18"/>
                <w:szCs w:val="18"/>
              </w:rPr>
              <w:t>Windsor-Sarnia</w:t>
            </w:r>
          </w:p>
        </w:tc>
        <w:tc>
          <w:tcPr>
            <w:tcW w:w="1680" w:type="dxa"/>
            <w:vAlign w:val="center"/>
          </w:tcPr>
          <w:p w14:paraId="00000065"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$36.222,37</w:t>
            </w:r>
          </w:p>
        </w:tc>
        <w:tc>
          <w:tcPr>
            <w:tcW w:w="1680" w:type="dxa"/>
            <w:vAlign w:val="center"/>
          </w:tcPr>
          <w:p w14:paraId="00000066"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$33.330,90</w:t>
            </w:r>
          </w:p>
        </w:tc>
        <w:tc>
          <w:tcPr>
            <w:tcW w:w="1680" w:type="dxa"/>
            <w:vAlign w:val="center"/>
          </w:tcPr>
          <w:p w14:paraId="00000067"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26,16%</w:t>
            </w:r>
          </w:p>
        </w:tc>
        <w:tc>
          <w:tcPr>
            <w:tcW w:w="1680" w:type="dxa"/>
            <w:vAlign w:val="center"/>
          </w:tcPr>
          <w:p w14:paraId="00000068"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26,81%</w:t>
            </w:r>
          </w:p>
        </w:tc>
      </w:tr>
      <w:tr w:rsidR="00E32736" w14:paraId="2479BCA2" w14:textId="77777777">
        <w:trPr>
          <w:trHeight w:val="397"/>
        </w:trPr>
        <w:tc>
          <w:tcPr>
            <w:tcW w:w="2400" w:type="dxa"/>
            <w:vAlign w:val="center"/>
          </w:tcPr>
          <w:p w14:paraId="00000069" w14:textId="77777777" w:rsidR="00E32736" w:rsidRDefault="00E1541E">
            <w:pPr>
              <w:widowControl w:val="0"/>
              <w:rPr>
                <w:rFonts w:ascii="Arial" w:eastAsia="Arial" w:hAnsi="Arial" w:cs="Arial"/>
                <w:sz w:val="18"/>
                <w:szCs w:val="18"/>
              </w:rPr>
            </w:pPr>
            <w:proofErr w:type="spellStart"/>
            <w:r>
              <w:rPr>
                <w:rFonts w:ascii="Arial" w:eastAsia="Arial" w:hAnsi="Arial" w:cs="Arial"/>
                <w:sz w:val="18"/>
                <w:szCs w:val="18"/>
              </w:rPr>
              <w:t>Stratford</w:t>
            </w:r>
            <w:proofErr w:type="spellEnd"/>
            <w:r>
              <w:rPr>
                <w:rFonts w:ascii="Arial" w:eastAsia="Arial" w:hAnsi="Arial" w:cs="Arial"/>
                <w:sz w:val="18"/>
                <w:szCs w:val="18"/>
              </w:rPr>
              <w:t xml:space="preserve">-Bruce </w:t>
            </w:r>
            <w:proofErr w:type="spellStart"/>
            <w:r>
              <w:rPr>
                <w:rFonts w:ascii="Arial" w:eastAsia="Arial" w:hAnsi="Arial" w:cs="Arial"/>
                <w:sz w:val="18"/>
                <w:szCs w:val="18"/>
              </w:rPr>
              <w:t>Peninsula</w:t>
            </w:r>
            <w:proofErr w:type="spellEnd"/>
          </w:p>
        </w:tc>
        <w:tc>
          <w:tcPr>
            <w:tcW w:w="1680" w:type="dxa"/>
            <w:vAlign w:val="center"/>
          </w:tcPr>
          <w:p w14:paraId="0000006A"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$34.878,16</w:t>
            </w:r>
          </w:p>
        </w:tc>
        <w:tc>
          <w:tcPr>
            <w:tcW w:w="1680" w:type="dxa"/>
            <w:vAlign w:val="center"/>
          </w:tcPr>
          <w:p w14:paraId="0000006B"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$29.776,36</w:t>
            </w:r>
          </w:p>
        </w:tc>
        <w:tc>
          <w:tcPr>
            <w:tcW w:w="1680" w:type="dxa"/>
            <w:vAlign w:val="center"/>
          </w:tcPr>
          <w:p w14:paraId="0000006C"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28,60%</w:t>
            </w:r>
          </w:p>
        </w:tc>
        <w:tc>
          <w:tcPr>
            <w:tcW w:w="1680" w:type="dxa"/>
            <w:vAlign w:val="center"/>
          </w:tcPr>
          <w:p w14:paraId="0000006D"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35,78%</w:t>
            </w:r>
          </w:p>
        </w:tc>
      </w:tr>
      <w:tr w:rsidR="00E32736" w14:paraId="6D465024" w14:textId="77777777">
        <w:trPr>
          <w:trHeight w:val="397"/>
        </w:trPr>
        <w:tc>
          <w:tcPr>
            <w:tcW w:w="2400" w:type="dxa"/>
            <w:vAlign w:val="center"/>
          </w:tcPr>
          <w:p w14:paraId="0000006E" w14:textId="77777777" w:rsidR="00E32736" w:rsidRDefault="00E1541E">
            <w:pPr>
              <w:widowControl w:val="0"/>
              <w:rPr>
                <w:rFonts w:ascii="Arial" w:eastAsia="Arial" w:hAnsi="Arial" w:cs="Arial"/>
                <w:sz w:val="18"/>
                <w:szCs w:val="18"/>
              </w:rPr>
            </w:pPr>
            <w:proofErr w:type="spellStart"/>
            <w:r>
              <w:rPr>
                <w:rFonts w:ascii="Arial" w:eastAsia="Arial" w:hAnsi="Arial" w:cs="Arial"/>
                <w:sz w:val="18"/>
                <w:szCs w:val="18"/>
              </w:rPr>
              <w:t>Northeast</w:t>
            </w:r>
            <w:proofErr w:type="spellEnd"/>
          </w:p>
        </w:tc>
        <w:tc>
          <w:tcPr>
            <w:tcW w:w="1680" w:type="dxa"/>
            <w:vAlign w:val="center"/>
          </w:tcPr>
          <w:p w14:paraId="0000006F"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$34.044,88</w:t>
            </w:r>
          </w:p>
        </w:tc>
        <w:tc>
          <w:tcPr>
            <w:tcW w:w="1680" w:type="dxa"/>
            <w:vAlign w:val="center"/>
          </w:tcPr>
          <w:p w14:paraId="00000070"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$30.025,63</w:t>
            </w:r>
          </w:p>
        </w:tc>
        <w:tc>
          <w:tcPr>
            <w:tcW w:w="1680" w:type="dxa"/>
            <w:vAlign w:val="center"/>
          </w:tcPr>
          <w:p w14:paraId="00000071"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28,65%</w:t>
            </w:r>
          </w:p>
        </w:tc>
        <w:tc>
          <w:tcPr>
            <w:tcW w:w="1680" w:type="dxa"/>
            <w:vAlign w:val="center"/>
          </w:tcPr>
          <w:p w14:paraId="00000072"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31,98%</w:t>
            </w:r>
          </w:p>
        </w:tc>
      </w:tr>
      <w:tr w:rsidR="00E32736" w14:paraId="3D7D653F" w14:textId="77777777">
        <w:trPr>
          <w:trHeight w:val="397"/>
        </w:trPr>
        <w:tc>
          <w:tcPr>
            <w:tcW w:w="2400" w:type="dxa"/>
            <w:vAlign w:val="center"/>
          </w:tcPr>
          <w:p w14:paraId="00000073" w14:textId="77777777" w:rsidR="00E32736" w:rsidRDefault="00E1541E">
            <w:pPr>
              <w:widowControl w:val="0"/>
              <w:rPr>
                <w:rFonts w:ascii="Arial" w:eastAsia="Arial" w:hAnsi="Arial" w:cs="Arial"/>
                <w:sz w:val="18"/>
                <w:szCs w:val="18"/>
              </w:rPr>
            </w:pPr>
            <w:proofErr w:type="spellStart"/>
            <w:r>
              <w:rPr>
                <w:rFonts w:ascii="Arial" w:eastAsia="Arial" w:hAnsi="Arial" w:cs="Arial"/>
                <w:sz w:val="18"/>
                <w:szCs w:val="18"/>
              </w:rPr>
              <w:t>Northwest</w:t>
            </w:r>
            <w:proofErr w:type="spellEnd"/>
          </w:p>
        </w:tc>
        <w:tc>
          <w:tcPr>
            <w:tcW w:w="1680" w:type="dxa"/>
            <w:vAlign w:val="center"/>
          </w:tcPr>
          <w:p w14:paraId="00000074"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$35.064,87</w:t>
            </w:r>
          </w:p>
        </w:tc>
        <w:tc>
          <w:tcPr>
            <w:tcW w:w="1680" w:type="dxa"/>
            <w:vAlign w:val="center"/>
          </w:tcPr>
          <w:p w14:paraId="00000075"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$31.173,11</w:t>
            </w:r>
          </w:p>
        </w:tc>
        <w:tc>
          <w:tcPr>
            <w:tcW w:w="1680" w:type="dxa"/>
            <w:vAlign w:val="center"/>
          </w:tcPr>
          <w:p w14:paraId="00000076"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25,72%</w:t>
            </w:r>
          </w:p>
        </w:tc>
        <w:tc>
          <w:tcPr>
            <w:tcW w:w="1680" w:type="dxa"/>
            <w:vAlign w:val="center"/>
          </w:tcPr>
          <w:p w14:paraId="00000077" w14:textId="77777777" w:rsidR="00E32736" w:rsidRDefault="00E1541E">
            <w:pPr>
              <w:widowControl w:val="0"/>
              <w:jc w:val="right"/>
              <w:rPr>
                <w:rFonts w:ascii="Arial" w:eastAsia="Arial" w:hAnsi="Arial" w:cs="Arial"/>
                <w:sz w:val="18"/>
                <w:szCs w:val="18"/>
              </w:rPr>
            </w:pPr>
            <w:r>
              <w:rPr>
                <w:rFonts w:ascii="Arial" w:eastAsia="Arial" w:hAnsi="Arial" w:cs="Arial"/>
                <w:sz w:val="18"/>
                <w:szCs w:val="18"/>
              </w:rPr>
              <w:t>26,40%</w:t>
            </w:r>
          </w:p>
        </w:tc>
      </w:tr>
    </w:tbl>
    <w:p w14:paraId="00000078" w14:textId="77777777" w:rsidR="00E32736" w:rsidRDefault="00E1541E">
      <w:pPr>
        <w:spacing w:after="0" w:line="240" w:lineRule="auto"/>
        <w:jc w:val="both"/>
        <w:rPr>
          <w:rFonts w:ascii="Arial" w:eastAsia="Arial" w:hAnsi="Arial" w:cs="Arial"/>
          <w:sz w:val="18"/>
          <w:szCs w:val="18"/>
        </w:rPr>
      </w:pPr>
      <w:r>
        <w:rPr>
          <w:rFonts w:ascii="Arial" w:eastAsia="Arial" w:hAnsi="Arial" w:cs="Arial"/>
          <w:sz w:val="18"/>
          <w:szCs w:val="18"/>
        </w:rPr>
        <w:t xml:space="preserve">Fonte: </w:t>
      </w:r>
      <w:proofErr w:type="spellStart"/>
      <w:r>
        <w:rPr>
          <w:rFonts w:ascii="Arial" w:eastAsia="Arial" w:hAnsi="Arial" w:cs="Arial"/>
          <w:sz w:val="18"/>
          <w:szCs w:val="18"/>
        </w:rPr>
        <w:t>Statistics</w:t>
      </w:r>
      <w:proofErr w:type="spellEnd"/>
      <w:r>
        <w:rPr>
          <w:rFonts w:ascii="Arial" w:eastAsia="Arial" w:hAnsi="Arial" w:cs="Arial"/>
          <w:sz w:val="18"/>
          <w:szCs w:val="18"/>
        </w:rPr>
        <w:t xml:space="preserve"> Canada, </w:t>
      </w:r>
      <w:proofErr w:type="spellStart"/>
      <w:r>
        <w:rPr>
          <w:rFonts w:ascii="Arial" w:eastAsia="Arial" w:hAnsi="Arial" w:cs="Arial"/>
          <w:sz w:val="18"/>
          <w:szCs w:val="18"/>
        </w:rPr>
        <w:t>Census</w:t>
      </w:r>
      <w:proofErr w:type="spellEnd"/>
      <w:r>
        <w:rPr>
          <w:rFonts w:ascii="Arial" w:eastAsia="Arial" w:hAnsi="Arial" w:cs="Arial"/>
          <w:sz w:val="18"/>
          <w:szCs w:val="18"/>
        </w:rPr>
        <w:t>, 2016.</w:t>
      </w:r>
    </w:p>
    <w:p w14:paraId="00000079" w14:textId="77777777" w:rsidR="00E32736" w:rsidRDefault="00E1541E">
      <w:pPr>
        <w:spacing w:after="0" w:line="240" w:lineRule="auto"/>
        <w:jc w:val="both"/>
        <w:rPr>
          <w:rFonts w:ascii="Arial" w:eastAsia="Arial" w:hAnsi="Arial" w:cs="Arial"/>
          <w:sz w:val="18"/>
          <w:szCs w:val="18"/>
        </w:rPr>
      </w:pPr>
      <w:r>
        <w:rPr>
          <w:rFonts w:ascii="Arial" w:eastAsia="Arial" w:hAnsi="Arial" w:cs="Arial"/>
          <w:sz w:val="18"/>
          <w:szCs w:val="18"/>
        </w:rPr>
        <w:t>Organização: os autores.</w:t>
      </w:r>
    </w:p>
    <w:p w14:paraId="0000007A"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rPr>
        <w:t xml:space="preserve">Os mapas 05 e 06 inseridos abaixo, representam o IMM linguístico de renda para </w:t>
      </w:r>
      <w:proofErr w:type="gramStart"/>
      <w:r>
        <w:rPr>
          <w:rFonts w:ascii="Arial" w:eastAsia="Arial" w:hAnsi="Arial" w:cs="Arial"/>
        </w:rPr>
        <w:t>ambos indicadores</w:t>
      </w:r>
      <w:proofErr w:type="gramEnd"/>
      <w:r>
        <w:rPr>
          <w:rFonts w:ascii="Arial" w:eastAsia="Arial" w:hAnsi="Arial" w:cs="Arial"/>
        </w:rPr>
        <w:t xml:space="preserve">. Isto é, apresentam, espacialmente, a razão entre a renda média anual de francófonos e anglófonos (mapa 05) e da mesma maneira da porcentagem de indivíduos com renda anual abaixo de 20.000 dólares (mapa 06). </w:t>
      </w:r>
    </w:p>
    <w:p w14:paraId="0000007B"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rPr>
        <w:t>No mapa 05 (à esquerda), em oito regiões há uma desigualdade pejorativa moderada à minoria linguística,</w:t>
      </w:r>
      <w:r>
        <w:rPr>
          <w:rFonts w:ascii="Arial" w:eastAsia="Arial" w:hAnsi="Arial" w:cs="Arial"/>
          <w:color w:val="000000"/>
        </w:rPr>
        <w:t xml:space="preserve"> não havendo nenhuma área do mapa em que haja uma diferença favorável. Tal homogeneidade nos resultados demonstra que por toda a província, independente das diferenças regionais, há uma desigualdade entre francófonos e anglófonos, sendo desfavorável aos primeiros em toda a província. </w:t>
      </w:r>
    </w:p>
    <w:p w14:paraId="0000007C"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color w:val="000000"/>
        </w:rPr>
        <w:t>No mapa 06 (à direita), há quatro regiões, Kitchener-Waterloo-</w:t>
      </w:r>
      <w:proofErr w:type="spellStart"/>
      <w:r>
        <w:rPr>
          <w:rFonts w:ascii="Arial" w:eastAsia="Arial" w:hAnsi="Arial" w:cs="Arial"/>
          <w:color w:val="000000"/>
        </w:rPr>
        <w:t>Barrie</w:t>
      </w:r>
      <w:proofErr w:type="spellEnd"/>
      <w:r>
        <w:rPr>
          <w:rFonts w:ascii="Arial" w:eastAsia="Arial" w:hAnsi="Arial" w:cs="Arial"/>
          <w:color w:val="000000"/>
        </w:rPr>
        <w:t xml:space="preserve">, </w:t>
      </w:r>
      <w:proofErr w:type="spellStart"/>
      <w:r>
        <w:rPr>
          <w:rFonts w:ascii="Arial" w:eastAsia="Arial" w:hAnsi="Arial" w:cs="Arial"/>
          <w:color w:val="000000"/>
        </w:rPr>
        <w:t>Stratford</w:t>
      </w:r>
      <w:proofErr w:type="spellEnd"/>
      <w:r>
        <w:rPr>
          <w:rFonts w:ascii="Arial" w:eastAsia="Arial" w:hAnsi="Arial" w:cs="Arial"/>
          <w:color w:val="000000"/>
        </w:rPr>
        <w:t xml:space="preserve">-Bruce </w:t>
      </w:r>
      <w:proofErr w:type="spellStart"/>
      <w:r>
        <w:rPr>
          <w:rFonts w:ascii="Arial" w:eastAsia="Arial" w:hAnsi="Arial" w:cs="Arial"/>
          <w:color w:val="000000"/>
        </w:rPr>
        <w:t>Peninsula</w:t>
      </w:r>
      <w:proofErr w:type="spellEnd"/>
      <w:r>
        <w:rPr>
          <w:rFonts w:ascii="Arial" w:eastAsia="Arial" w:hAnsi="Arial" w:cs="Arial"/>
          <w:color w:val="000000"/>
        </w:rPr>
        <w:t xml:space="preserve">, </w:t>
      </w:r>
      <w:proofErr w:type="spellStart"/>
      <w:r>
        <w:rPr>
          <w:rFonts w:ascii="Arial" w:eastAsia="Arial" w:hAnsi="Arial" w:cs="Arial"/>
          <w:color w:val="000000"/>
        </w:rPr>
        <w:t>Muskoka-Kawarthas</w:t>
      </w:r>
      <w:proofErr w:type="spellEnd"/>
      <w:r>
        <w:rPr>
          <w:rFonts w:ascii="Arial" w:eastAsia="Arial" w:hAnsi="Arial" w:cs="Arial"/>
          <w:color w:val="000000"/>
        </w:rPr>
        <w:t xml:space="preserve"> e Hamilton-Niagara </w:t>
      </w:r>
      <w:proofErr w:type="spellStart"/>
      <w:r>
        <w:rPr>
          <w:rFonts w:ascii="Arial" w:eastAsia="Arial" w:hAnsi="Arial" w:cs="Arial"/>
          <w:color w:val="000000"/>
        </w:rPr>
        <w:t>Peninsula</w:t>
      </w:r>
      <w:proofErr w:type="spellEnd"/>
      <w:r>
        <w:rPr>
          <w:rFonts w:ascii="Arial" w:eastAsia="Arial" w:hAnsi="Arial" w:cs="Arial"/>
          <w:color w:val="000000"/>
        </w:rPr>
        <w:t xml:space="preserve">, em que há uma intensa desigualdade pejorativa para as minorias francófonas. Ainda, outras duas regiões possuem desigualdade pejorativa moderada, </w:t>
      </w:r>
      <w:proofErr w:type="spellStart"/>
      <w:r>
        <w:rPr>
          <w:rFonts w:ascii="Arial" w:eastAsia="Arial" w:hAnsi="Arial" w:cs="Arial"/>
          <w:color w:val="000000"/>
        </w:rPr>
        <w:t>Northeast</w:t>
      </w:r>
      <w:proofErr w:type="spellEnd"/>
      <w:r>
        <w:rPr>
          <w:rFonts w:ascii="Arial" w:eastAsia="Arial" w:hAnsi="Arial" w:cs="Arial"/>
          <w:color w:val="000000"/>
        </w:rPr>
        <w:t xml:space="preserve"> e Ottawa, por </w:t>
      </w:r>
      <w:proofErr w:type="gramStart"/>
      <w:r>
        <w:rPr>
          <w:rFonts w:ascii="Arial" w:eastAsia="Arial" w:hAnsi="Arial" w:cs="Arial"/>
          <w:color w:val="000000"/>
        </w:rPr>
        <w:t>fim  apenas</w:t>
      </w:r>
      <w:proofErr w:type="gramEnd"/>
      <w:r>
        <w:rPr>
          <w:rFonts w:ascii="Arial" w:eastAsia="Arial" w:hAnsi="Arial" w:cs="Arial"/>
          <w:color w:val="000000"/>
        </w:rPr>
        <w:t xml:space="preserve"> uma região com uma desigualdade favorável moderada à minoria francófona, em Kingston-Pembroke. </w:t>
      </w:r>
    </w:p>
    <w:p w14:paraId="0000007D" w14:textId="77777777" w:rsidR="00E32736" w:rsidRDefault="00E1541E">
      <w:pPr>
        <w:spacing w:before="120" w:after="120" w:line="240" w:lineRule="auto"/>
        <w:jc w:val="center"/>
        <w:rPr>
          <w:rFonts w:ascii="Arial" w:eastAsia="Arial" w:hAnsi="Arial" w:cs="Arial"/>
        </w:rPr>
      </w:pPr>
      <w:r>
        <w:rPr>
          <w:rFonts w:ascii="Arial" w:eastAsia="Arial" w:hAnsi="Arial" w:cs="Arial"/>
          <w:color w:val="000000"/>
        </w:rPr>
        <w:t>Mapa 05 e 06: Índice Minoria/Maioria Linguística de Renda em Ontário, Canadá</w:t>
      </w:r>
    </w:p>
    <w:p w14:paraId="0000007E" w14:textId="77777777" w:rsidR="00E32736" w:rsidRDefault="00E1541E">
      <w:pPr>
        <w:spacing w:before="120" w:after="120" w:line="240" w:lineRule="auto"/>
        <w:jc w:val="both"/>
        <w:rPr>
          <w:rFonts w:ascii="Arial" w:eastAsia="Arial" w:hAnsi="Arial" w:cs="Arial"/>
          <w:i/>
        </w:rPr>
      </w:pPr>
      <w:r>
        <w:rPr>
          <w:noProof/>
        </w:rPr>
        <w:lastRenderedPageBreak/>
        <w:drawing>
          <wp:anchor distT="0" distB="0" distL="0" distR="0" simplePos="0" relativeHeight="251660288" behindDoc="0" locked="0" layoutInCell="1" hidden="0" allowOverlap="1">
            <wp:simplePos x="0" y="0"/>
            <wp:positionH relativeFrom="column">
              <wp:posOffset>0</wp:posOffset>
            </wp:positionH>
            <wp:positionV relativeFrom="paragraph">
              <wp:posOffset>73025</wp:posOffset>
            </wp:positionV>
            <wp:extent cx="5760085" cy="3731895"/>
            <wp:effectExtent l="0" t="0" r="0" b="0"/>
            <wp:wrapSquare wrapText="bothSides" distT="0" distB="0" distL="0" distR="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60085" cy="3731895"/>
                    </a:xfrm>
                    <a:prstGeom prst="rect">
                      <a:avLst/>
                    </a:prstGeom>
                    <a:ln/>
                  </pic:spPr>
                </pic:pic>
              </a:graphicData>
            </a:graphic>
          </wp:anchor>
        </w:drawing>
      </w:r>
    </w:p>
    <w:p w14:paraId="0000007F" w14:textId="77777777" w:rsidR="00E32736" w:rsidRDefault="00E1541E">
      <w:pPr>
        <w:spacing w:before="120" w:after="120" w:line="240" w:lineRule="auto"/>
        <w:jc w:val="both"/>
        <w:rPr>
          <w:rFonts w:ascii="Arial" w:eastAsia="Arial" w:hAnsi="Arial" w:cs="Arial"/>
          <w:i/>
        </w:rPr>
      </w:pPr>
      <w:r>
        <w:rPr>
          <w:rFonts w:ascii="Arial" w:eastAsia="Arial" w:hAnsi="Arial" w:cs="Arial"/>
          <w:i/>
        </w:rPr>
        <w:t>Educação</w:t>
      </w:r>
    </w:p>
    <w:p w14:paraId="00000080"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rPr>
        <w:t xml:space="preserve">O nível de escolaridade dos </w:t>
      </w:r>
      <w:r>
        <w:rPr>
          <w:rFonts w:ascii="Arial" w:eastAsia="Arial" w:hAnsi="Arial" w:cs="Arial"/>
          <w:color w:val="000000"/>
        </w:rPr>
        <w:t xml:space="preserve">idosos, representado pelos dois indicadores escolhidos, porcentagem de indivíduos sem nenhum certificado ou diploma escolar e a porcentagem da população com diplomas pós-secundários, incluindo cursos técnicos e universitários. A tabela 02 apresenta os resultados obtidos por região econômica na província de Ontário. Nota-se que o nível educacional </w:t>
      </w:r>
      <w:r>
        <w:rPr>
          <w:rFonts w:ascii="Arial" w:eastAsia="Arial" w:hAnsi="Arial" w:cs="Arial"/>
        </w:rPr>
        <w:t xml:space="preserve">é mais baixo na zona norte da província, especialmente nas regiões </w:t>
      </w:r>
      <w:proofErr w:type="spellStart"/>
      <w:r>
        <w:rPr>
          <w:rFonts w:ascii="Arial" w:eastAsia="Arial" w:hAnsi="Arial" w:cs="Arial"/>
        </w:rPr>
        <w:t>Northeast</w:t>
      </w:r>
      <w:proofErr w:type="spellEnd"/>
      <w:r>
        <w:rPr>
          <w:rFonts w:ascii="Arial" w:eastAsia="Arial" w:hAnsi="Arial" w:cs="Arial"/>
        </w:rPr>
        <w:t xml:space="preserve"> e </w:t>
      </w:r>
      <w:proofErr w:type="spellStart"/>
      <w:r>
        <w:rPr>
          <w:rFonts w:ascii="Arial" w:eastAsia="Arial" w:hAnsi="Arial" w:cs="Arial"/>
        </w:rPr>
        <w:t>Northwest</w:t>
      </w:r>
      <w:proofErr w:type="spellEnd"/>
      <w:r>
        <w:rPr>
          <w:rFonts w:ascii="Arial" w:eastAsia="Arial" w:hAnsi="Arial" w:cs="Arial"/>
        </w:rPr>
        <w:t xml:space="preserve">, com porcentagens mais elevadas de pessoas sem diplomas de ensino e os resultados mais baixos para o nível pós-secundário. Acerca das desigualdades linguísticas, </w:t>
      </w:r>
      <w:r>
        <w:rPr>
          <w:rFonts w:ascii="Arial" w:eastAsia="Arial" w:hAnsi="Arial" w:cs="Arial"/>
          <w:color w:val="000000"/>
        </w:rPr>
        <w:t>a comunidade</w:t>
      </w:r>
      <w:r>
        <w:rPr>
          <w:rFonts w:ascii="Arial" w:eastAsia="Arial" w:hAnsi="Arial" w:cs="Arial"/>
        </w:rPr>
        <w:t xml:space="preserve"> francófona possui uma porcentagem maior de idosos sem qualquer certificado ou diploma de ensino, em média 10,94% maior que entre os seus pares anglófonos. Apenas Kingston-Pembroke, Toronto, London e </w:t>
      </w:r>
      <w:proofErr w:type="spellStart"/>
      <w:r>
        <w:rPr>
          <w:rFonts w:ascii="Arial" w:eastAsia="Arial" w:hAnsi="Arial" w:cs="Arial"/>
        </w:rPr>
        <w:t>Stratford</w:t>
      </w:r>
      <w:proofErr w:type="spellEnd"/>
      <w:r>
        <w:rPr>
          <w:rFonts w:ascii="Arial" w:eastAsia="Arial" w:hAnsi="Arial" w:cs="Arial"/>
        </w:rPr>
        <w:t xml:space="preserve">-Bruce </w:t>
      </w:r>
      <w:proofErr w:type="spellStart"/>
      <w:r>
        <w:rPr>
          <w:rFonts w:ascii="Arial" w:eastAsia="Arial" w:hAnsi="Arial" w:cs="Arial"/>
        </w:rPr>
        <w:t>Peninsula</w:t>
      </w:r>
      <w:proofErr w:type="spellEnd"/>
      <w:r>
        <w:rPr>
          <w:rFonts w:ascii="Arial" w:eastAsia="Arial" w:hAnsi="Arial" w:cs="Arial"/>
        </w:rPr>
        <w:t xml:space="preserve"> que há uma porcentagem ligeiramente mais elevada entre os anglófonos, em média 2,03%. </w:t>
      </w:r>
    </w:p>
    <w:p w14:paraId="00000081"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rPr>
        <w:t xml:space="preserve">Acerca da educação pós-secundária, também foram identificadas 7 regiões em que os francófonos apresentaram níveis piores de educação, com destaque para as regiões Ottawa, </w:t>
      </w:r>
      <w:proofErr w:type="spellStart"/>
      <w:r>
        <w:rPr>
          <w:rFonts w:ascii="Arial" w:eastAsia="Arial" w:hAnsi="Arial" w:cs="Arial"/>
        </w:rPr>
        <w:t>Northeast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Northwest</w:t>
      </w:r>
      <w:proofErr w:type="spellEnd"/>
      <w:r>
        <w:rPr>
          <w:rFonts w:ascii="Arial" w:eastAsia="Arial" w:hAnsi="Arial" w:cs="Arial"/>
        </w:rPr>
        <w:t xml:space="preserve"> que registraram diferença de valores entre 10,71% e 13,47% para menos. Em média, os resultados regionais registraram valores 7,14% mais baixos da porcentagem de idosos francófonos com diplomas pós-secundários. </w:t>
      </w:r>
    </w:p>
    <w:p w14:paraId="00000082" w14:textId="77777777" w:rsidR="00E32736" w:rsidRDefault="00E1541E">
      <w:pPr>
        <w:spacing w:before="120" w:after="120" w:line="240" w:lineRule="auto"/>
        <w:jc w:val="center"/>
        <w:rPr>
          <w:rFonts w:ascii="Arial" w:eastAsia="Arial" w:hAnsi="Arial" w:cs="Arial"/>
        </w:rPr>
      </w:pPr>
      <w:r>
        <w:rPr>
          <w:rFonts w:ascii="Arial" w:eastAsia="Arial" w:hAnsi="Arial" w:cs="Arial"/>
        </w:rPr>
        <w:lastRenderedPageBreak/>
        <w:t>Tabela 02 – Níveis de Educação por Região Econômica em Ontário, Canadá</w:t>
      </w:r>
    </w:p>
    <w:p w14:paraId="00000083" w14:textId="77777777" w:rsidR="00E32736" w:rsidRDefault="00E32736">
      <w:pPr>
        <w:spacing w:after="0" w:line="240" w:lineRule="auto"/>
        <w:jc w:val="center"/>
      </w:pPr>
    </w:p>
    <w:tbl>
      <w:tblPr>
        <w:tblStyle w:val="a0"/>
        <w:tblW w:w="913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37"/>
        <w:gridCol w:w="1674"/>
        <w:gridCol w:w="1672"/>
        <w:gridCol w:w="1674"/>
        <w:gridCol w:w="1673"/>
      </w:tblGrid>
      <w:tr w:rsidR="00E32736" w14:paraId="0EA1F895" w14:textId="77777777">
        <w:trPr>
          <w:trHeight w:val="567"/>
        </w:trPr>
        <w:tc>
          <w:tcPr>
            <w:tcW w:w="2437" w:type="dxa"/>
            <w:vMerge w:val="restart"/>
            <w:vAlign w:val="center"/>
          </w:tcPr>
          <w:p w14:paraId="00000084" w14:textId="77777777" w:rsidR="00E32736" w:rsidRDefault="00E1541E">
            <w:pPr>
              <w:widowControl w:val="0"/>
              <w:spacing w:after="0"/>
              <w:jc w:val="center"/>
              <w:rPr>
                <w:rFonts w:ascii="Arial" w:eastAsia="Arial" w:hAnsi="Arial" w:cs="Arial"/>
                <w:sz w:val="18"/>
                <w:szCs w:val="18"/>
              </w:rPr>
            </w:pPr>
            <w:r>
              <w:rPr>
                <w:rFonts w:ascii="Arial" w:eastAsia="Arial" w:hAnsi="Arial" w:cs="Arial"/>
                <w:b/>
                <w:sz w:val="18"/>
                <w:szCs w:val="18"/>
              </w:rPr>
              <w:t>Região Econômica</w:t>
            </w:r>
          </w:p>
        </w:tc>
        <w:tc>
          <w:tcPr>
            <w:tcW w:w="3346" w:type="dxa"/>
            <w:gridSpan w:val="2"/>
            <w:vAlign w:val="center"/>
          </w:tcPr>
          <w:p w14:paraId="00000085"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Indivíduos sem certificado ou diploma escolar</w:t>
            </w:r>
            <w:r>
              <w:rPr>
                <w:rFonts w:ascii="Arial" w:eastAsia="Arial" w:hAnsi="Arial" w:cs="Arial"/>
                <w:b/>
                <w:color w:val="000000"/>
                <w:sz w:val="18"/>
                <w:szCs w:val="18"/>
              </w:rPr>
              <w:t xml:space="preserve"> (%)</w:t>
            </w:r>
          </w:p>
        </w:tc>
        <w:tc>
          <w:tcPr>
            <w:tcW w:w="3347" w:type="dxa"/>
            <w:gridSpan w:val="2"/>
            <w:vAlign w:val="center"/>
          </w:tcPr>
          <w:p w14:paraId="00000087" w14:textId="77777777" w:rsidR="00E32736" w:rsidRDefault="00E1541E">
            <w:pPr>
              <w:widowControl w:val="0"/>
              <w:jc w:val="center"/>
              <w:rPr>
                <w:rFonts w:ascii="Arial" w:eastAsia="Arial" w:hAnsi="Arial" w:cs="Arial"/>
                <w:b/>
                <w:color w:val="000000"/>
                <w:sz w:val="18"/>
                <w:szCs w:val="18"/>
              </w:rPr>
            </w:pPr>
            <w:r>
              <w:rPr>
                <w:rFonts w:ascii="Arial" w:eastAsia="Arial" w:hAnsi="Arial" w:cs="Arial"/>
                <w:b/>
                <w:sz w:val="18"/>
                <w:szCs w:val="18"/>
              </w:rPr>
              <w:t>Indivíduos com diploma pós-secundário</w:t>
            </w:r>
            <w:r>
              <w:rPr>
                <w:rFonts w:ascii="Arial" w:eastAsia="Arial" w:hAnsi="Arial" w:cs="Arial"/>
                <w:b/>
                <w:color w:val="000000"/>
                <w:sz w:val="18"/>
                <w:szCs w:val="18"/>
              </w:rPr>
              <w:t xml:space="preserve"> (%)</w:t>
            </w:r>
          </w:p>
        </w:tc>
      </w:tr>
      <w:tr w:rsidR="00E32736" w14:paraId="76CA25AC" w14:textId="77777777">
        <w:trPr>
          <w:trHeight w:val="397"/>
        </w:trPr>
        <w:tc>
          <w:tcPr>
            <w:tcW w:w="2437" w:type="dxa"/>
            <w:vMerge/>
            <w:vAlign w:val="center"/>
          </w:tcPr>
          <w:p w14:paraId="00000089" w14:textId="77777777" w:rsidR="00E32736" w:rsidRDefault="00E32736">
            <w:pPr>
              <w:widowControl w:val="0"/>
              <w:pBdr>
                <w:top w:val="nil"/>
                <w:left w:val="nil"/>
                <w:bottom w:val="nil"/>
                <w:right w:val="nil"/>
                <w:between w:val="nil"/>
              </w:pBdr>
              <w:spacing w:after="0"/>
              <w:rPr>
                <w:rFonts w:ascii="Arial" w:eastAsia="Arial" w:hAnsi="Arial" w:cs="Arial"/>
                <w:b/>
                <w:color w:val="000000"/>
                <w:sz w:val="18"/>
                <w:szCs w:val="18"/>
              </w:rPr>
            </w:pPr>
          </w:p>
        </w:tc>
        <w:tc>
          <w:tcPr>
            <w:tcW w:w="1674" w:type="dxa"/>
            <w:vAlign w:val="center"/>
          </w:tcPr>
          <w:p w14:paraId="0000008A"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Anglófonos</w:t>
            </w:r>
          </w:p>
        </w:tc>
        <w:tc>
          <w:tcPr>
            <w:tcW w:w="1672" w:type="dxa"/>
            <w:vAlign w:val="center"/>
          </w:tcPr>
          <w:p w14:paraId="0000008B"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Francófonos</w:t>
            </w:r>
          </w:p>
        </w:tc>
        <w:tc>
          <w:tcPr>
            <w:tcW w:w="1674" w:type="dxa"/>
            <w:vAlign w:val="center"/>
          </w:tcPr>
          <w:p w14:paraId="0000008C"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Anglófonos</w:t>
            </w:r>
          </w:p>
        </w:tc>
        <w:tc>
          <w:tcPr>
            <w:tcW w:w="1673" w:type="dxa"/>
            <w:vAlign w:val="center"/>
          </w:tcPr>
          <w:p w14:paraId="0000008D" w14:textId="77777777" w:rsidR="00E32736" w:rsidRDefault="00E1541E">
            <w:pPr>
              <w:widowControl w:val="0"/>
              <w:jc w:val="center"/>
              <w:rPr>
                <w:rFonts w:ascii="Arial" w:eastAsia="Arial" w:hAnsi="Arial" w:cs="Arial"/>
                <w:sz w:val="18"/>
                <w:szCs w:val="18"/>
              </w:rPr>
            </w:pPr>
            <w:r>
              <w:rPr>
                <w:rFonts w:ascii="Arial" w:eastAsia="Arial" w:hAnsi="Arial" w:cs="Arial"/>
                <w:b/>
                <w:sz w:val="18"/>
                <w:szCs w:val="18"/>
              </w:rPr>
              <w:t>Francófonos</w:t>
            </w:r>
          </w:p>
        </w:tc>
      </w:tr>
      <w:tr w:rsidR="00E32736" w14:paraId="44142481" w14:textId="77777777">
        <w:trPr>
          <w:trHeight w:val="397"/>
        </w:trPr>
        <w:tc>
          <w:tcPr>
            <w:tcW w:w="2437" w:type="dxa"/>
            <w:vAlign w:val="center"/>
          </w:tcPr>
          <w:p w14:paraId="0000008E" w14:textId="77777777" w:rsidR="00E32736" w:rsidRDefault="00E1541E">
            <w:pPr>
              <w:widowControl w:val="0"/>
              <w:rPr>
                <w:rFonts w:ascii="Arial" w:eastAsia="Arial" w:hAnsi="Arial" w:cs="Arial"/>
                <w:sz w:val="18"/>
                <w:szCs w:val="18"/>
              </w:rPr>
            </w:pPr>
            <w:r>
              <w:rPr>
                <w:rFonts w:ascii="Arial" w:eastAsia="Arial" w:hAnsi="Arial" w:cs="Arial"/>
                <w:sz w:val="18"/>
                <w:szCs w:val="18"/>
              </w:rPr>
              <w:t>Ottawa</w:t>
            </w:r>
          </w:p>
        </w:tc>
        <w:tc>
          <w:tcPr>
            <w:tcW w:w="1674" w:type="dxa"/>
            <w:vAlign w:val="center"/>
          </w:tcPr>
          <w:p w14:paraId="0000008F"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18,28%</w:t>
            </w:r>
          </w:p>
        </w:tc>
        <w:tc>
          <w:tcPr>
            <w:tcW w:w="1672" w:type="dxa"/>
            <w:vAlign w:val="center"/>
          </w:tcPr>
          <w:p w14:paraId="00000090"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29,17%</w:t>
            </w:r>
          </w:p>
        </w:tc>
        <w:tc>
          <w:tcPr>
            <w:tcW w:w="1674" w:type="dxa"/>
            <w:vAlign w:val="center"/>
          </w:tcPr>
          <w:p w14:paraId="00000091"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55,91%</w:t>
            </w:r>
          </w:p>
        </w:tc>
        <w:tc>
          <w:tcPr>
            <w:tcW w:w="1673" w:type="dxa"/>
            <w:vAlign w:val="center"/>
          </w:tcPr>
          <w:p w14:paraId="00000092"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45,19%</w:t>
            </w:r>
          </w:p>
        </w:tc>
      </w:tr>
      <w:tr w:rsidR="00E32736" w14:paraId="53C94DCA" w14:textId="77777777">
        <w:trPr>
          <w:trHeight w:val="397"/>
        </w:trPr>
        <w:tc>
          <w:tcPr>
            <w:tcW w:w="2437" w:type="dxa"/>
            <w:vAlign w:val="center"/>
          </w:tcPr>
          <w:p w14:paraId="00000093" w14:textId="77777777" w:rsidR="00E32736" w:rsidRDefault="00E1541E">
            <w:pPr>
              <w:widowControl w:val="0"/>
              <w:rPr>
                <w:rFonts w:ascii="Arial" w:eastAsia="Arial" w:hAnsi="Arial" w:cs="Arial"/>
                <w:sz w:val="18"/>
                <w:szCs w:val="18"/>
              </w:rPr>
            </w:pPr>
            <w:r>
              <w:rPr>
                <w:rFonts w:ascii="Arial" w:eastAsia="Arial" w:hAnsi="Arial" w:cs="Arial"/>
                <w:sz w:val="18"/>
                <w:szCs w:val="18"/>
              </w:rPr>
              <w:t>Kingston-Pembroke</w:t>
            </w:r>
          </w:p>
        </w:tc>
        <w:tc>
          <w:tcPr>
            <w:tcW w:w="1674" w:type="dxa"/>
            <w:vAlign w:val="center"/>
          </w:tcPr>
          <w:p w14:paraId="00000094"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26,16%</w:t>
            </w:r>
          </w:p>
        </w:tc>
        <w:tc>
          <w:tcPr>
            <w:tcW w:w="1672" w:type="dxa"/>
            <w:vAlign w:val="center"/>
          </w:tcPr>
          <w:p w14:paraId="00000095"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24,23%</w:t>
            </w:r>
          </w:p>
        </w:tc>
        <w:tc>
          <w:tcPr>
            <w:tcW w:w="1674" w:type="dxa"/>
            <w:vAlign w:val="center"/>
          </w:tcPr>
          <w:p w14:paraId="00000096"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47,23%</w:t>
            </w:r>
          </w:p>
        </w:tc>
        <w:tc>
          <w:tcPr>
            <w:tcW w:w="1673" w:type="dxa"/>
            <w:vAlign w:val="center"/>
          </w:tcPr>
          <w:p w14:paraId="00000097"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51,90%</w:t>
            </w:r>
          </w:p>
        </w:tc>
      </w:tr>
      <w:tr w:rsidR="00E32736" w14:paraId="6CBA31EB" w14:textId="77777777">
        <w:trPr>
          <w:trHeight w:val="397"/>
        </w:trPr>
        <w:tc>
          <w:tcPr>
            <w:tcW w:w="2437" w:type="dxa"/>
            <w:vAlign w:val="center"/>
          </w:tcPr>
          <w:p w14:paraId="00000098" w14:textId="77777777" w:rsidR="00E32736" w:rsidRDefault="00E1541E">
            <w:pPr>
              <w:widowControl w:val="0"/>
              <w:rPr>
                <w:rFonts w:ascii="Arial" w:eastAsia="Arial" w:hAnsi="Arial" w:cs="Arial"/>
                <w:sz w:val="18"/>
                <w:szCs w:val="18"/>
              </w:rPr>
            </w:pPr>
            <w:proofErr w:type="spellStart"/>
            <w:r>
              <w:rPr>
                <w:rFonts w:ascii="Arial" w:eastAsia="Arial" w:hAnsi="Arial" w:cs="Arial"/>
                <w:sz w:val="18"/>
                <w:szCs w:val="18"/>
              </w:rPr>
              <w:t>Muskoka-Kawarthas</w:t>
            </w:r>
            <w:proofErr w:type="spellEnd"/>
          </w:p>
        </w:tc>
        <w:tc>
          <w:tcPr>
            <w:tcW w:w="1674" w:type="dxa"/>
            <w:vAlign w:val="center"/>
          </w:tcPr>
          <w:p w14:paraId="00000099"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25,24%</w:t>
            </w:r>
          </w:p>
        </w:tc>
        <w:tc>
          <w:tcPr>
            <w:tcW w:w="1672" w:type="dxa"/>
            <w:vAlign w:val="center"/>
          </w:tcPr>
          <w:p w14:paraId="0000009A"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28,91%</w:t>
            </w:r>
          </w:p>
        </w:tc>
        <w:tc>
          <w:tcPr>
            <w:tcW w:w="1674" w:type="dxa"/>
            <w:vAlign w:val="center"/>
          </w:tcPr>
          <w:p w14:paraId="0000009B"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47,54%</w:t>
            </w:r>
          </w:p>
        </w:tc>
        <w:tc>
          <w:tcPr>
            <w:tcW w:w="1673" w:type="dxa"/>
            <w:vAlign w:val="center"/>
          </w:tcPr>
          <w:p w14:paraId="0000009C"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46,09%</w:t>
            </w:r>
          </w:p>
        </w:tc>
      </w:tr>
      <w:tr w:rsidR="00E32736" w14:paraId="3E1A0805" w14:textId="77777777">
        <w:trPr>
          <w:trHeight w:val="397"/>
        </w:trPr>
        <w:tc>
          <w:tcPr>
            <w:tcW w:w="2437" w:type="dxa"/>
            <w:vAlign w:val="center"/>
          </w:tcPr>
          <w:p w14:paraId="0000009D" w14:textId="77777777" w:rsidR="00E32736" w:rsidRDefault="00E1541E">
            <w:pPr>
              <w:widowControl w:val="0"/>
              <w:rPr>
                <w:rFonts w:ascii="Arial" w:eastAsia="Arial" w:hAnsi="Arial" w:cs="Arial"/>
                <w:sz w:val="18"/>
                <w:szCs w:val="18"/>
              </w:rPr>
            </w:pPr>
            <w:r>
              <w:rPr>
                <w:rFonts w:ascii="Arial" w:eastAsia="Arial" w:hAnsi="Arial" w:cs="Arial"/>
                <w:sz w:val="18"/>
                <w:szCs w:val="18"/>
              </w:rPr>
              <w:t>Toronto</w:t>
            </w:r>
          </w:p>
        </w:tc>
        <w:tc>
          <w:tcPr>
            <w:tcW w:w="1674" w:type="dxa"/>
            <w:vAlign w:val="center"/>
          </w:tcPr>
          <w:p w14:paraId="0000009E"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24,09%</w:t>
            </w:r>
          </w:p>
        </w:tc>
        <w:tc>
          <w:tcPr>
            <w:tcW w:w="1672" w:type="dxa"/>
            <w:vAlign w:val="center"/>
          </w:tcPr>
          <w:p w14:paraId="0000009F"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22,35%</w:t>
            </w:r>
          </w:p>
        </w:tc>
        <w:tc>
          <w:tcPr>
            <w:tcW w:w="1674" w:type="dxa"/>
            <w:vAlign w:val="center"/>
          </w:tcPr>
          <w:p w14:paraId="000000A0"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49,36%</w:t>
            </w:r>
          </w:p>
        </w:tc>
        <w:tc>
          <w:tcPr>
            <w:tcW w:w="1673" w:type="dxa"/>
            <w:vAlign w:val="center"/>
          </w:tcPr>
          <w:p w14:paraId="000000A1"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54,49%</w:t>
            </w:r>
          </w:p>
        </w:tc>
      </w:tr>
      <w:tr w:rsidR="00E32736" w14:paraId="07B28734" w14:textId="77777777">
        <w:trPr>
          <w:trHeight w:val="397"/>
        </w:trPr>
        <w:tc>
          <w:tcPr>
            <w:tcW w:w="2437" w:type="dxa"/>
            <w:vAlign w:val="center"/>
          </w:tcPr>
          <w:p w14:paraId="000000A2" w14:textId="77777777" w:rsidR="00E32736" w:rsidRDefault="00E1541E">
            <w:pPr>
              <w:widowControl w:val="0"/>
              <w:rPr>
                <w:rFonts w:ascii="Arial" w:eastAsia="Arial" w:hAnsi="Arial" w:cs="Arial"/>
                <w:sz w:val="18"/>
                <w:szCs w:val="18"/>
              </w:rPr>
            </w:pPr>
            <w:r>
              <w:rPr>
                <w:rFonts w:ascii="Arial" w:eastAsia="Arial" w:hAnsi="Arial" w:cs="Arial"/>
                <w:sz w:val="18"/>
                <w:szCs w:val="18"/>
              </w:rPr>
              <w:t>Kitchener-Waterloo-</w:t>
            </w:r>
            <w:proofErr w:type="spellStart"/>
            <w:r>
              <w:rPr>
                <w:rFonts w:ascii="Arial" w:eastAsia="Arial" w:hAnsi="Arial" w:cs="Arial"/>
                <w:sz w:val="18"/>
                <w:szCs w:val="18"/>
              </w:rPr>
              <w:t>Barrie</w:t>
            </w:r>
            <w:proofErr w:type="spellEnd"/>
          </w:p>
        </w:tc>
        <w:tc>
          <w:tcPr>
            <w:tcW w:w="1674" w:type="dxa"/>
            <w:vAlign w:val="center"/>
          </w:tcPr>
          <w:p w14:paraId="000000A3"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28,06%</w:t>
            </w:r>
          </w:p>
        </w:tc>
        <w:tc>
          <w:tcPr>
            <w:tcW w:w="1672" w:type="dxa"/>
            <w:vAlign w:val="center"/>
          </w:tcPr>
          <w:p w14:paraId="000000A4"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34,12%</w:t>
            </w:r>
          </w:p>
        </w:tc>
        <w:tc>
          <w:tcPr>
            <w:tcW w:w="1674" w:type="dxa"/>
            <w:vAlign w:val="center"/>
          </w:tcPr>
          <w:p w14:paraId="000000A5"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45,32%</w:t>
            </w:r>
          </w:p>
        </w:tc>
        <w:tc>
          <w:tcPr>
            <w:tcW w:w="1673" w:type="dxa"/>
            <w:vAlign w:val="center"/>
          </w:tcPr>
          <w:p w14:paraId="000000A6"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40,04%</w:t>
            </w:r>
          </w:p>
        </w:tc>
      </w:tr>
      <w:tr w:rsidR="00E32736" w14:paraId="66F99222" w14:textId="77777777">
        <w:trPr>
          <w:trHeight w:val="397"/>
        </w:trPr>
        <w:tc>
          <w:tcPr>
            <w:tcW w:w="2437" w:type="dxa"/>
            <w:vAlign w:val="center"/>
          </w:tcPr>
          <w:p w14:paraId="000000A7" w14:textId="77777777" w:rsidR="00E32736" w:rsidRDefault="00E1541E">
            <w:pPr>
              <w:widowControl w:val="0"/>
              <w:rPr>
                <w:rFonts w:ascii="Arial" w:eastAsia="Arial" w:hAnsi="Arial" w:cs="Arial"/>
                <w:sz w:val="18"/>
                <w:szCs w:val="18"/>
              </w:rPr>
            </w:pPr>
            <w:r>
              <w:rPr>
                <w:rFonts w:ascii="Arial" w:eastAsia="Arial" w:hAnsi="Arial" w:cs="Arial"/>
                <w:sz w:val="18"/>
                <w:szCs w:val="18"/>
              </w:rPr>
              <w:t xml:space="preserve">Hamilton-Niagara </w:t>
            </w:r>
            <w:proofErr w:type="spellStart"/>
            <w:r>
              <w:rPr>
                <w:rFonts w:ascii="Arial" w:eastAsia="Arial" w:hAnsi="Arial" w:cs="Arial"/>
                <w:sz w:val="18"/>
                <w:szCs w:val="18"/>
              </w:rPr>
              <w:t>Peninsula</w:t>
            </w:r>
            <w:proofErr w:type="spellEnd"/>
          </w:p>
        </w:tc>
        <w:tc>
          <w:tcPr>
            <w:tcW w:w="1674" w:type="dxa"/>
            <w:vAlign w:val="center"/>
          </w:tcPr>
          <w:p w14:paraId="000000A8"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30,58%</w:t>
            </w:r>
          </w:p>
        </w:tc>
        <w:tc>
          <w:tcPr>
            <w:tcW w:w="1672" w:type="dxa"/>
            <w:vAlign w:val="center"/>
          </w:tcPr>
          <w:p w14:paraId="000000A9"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43,46%</w:t>
            </w:r>
          </w:p>
        </w:tc>
        <w:tc>
          <w:tcPr>
            <w:tcW w:w="1674" w:type="dxa"/>
            <w:vAlign w:val="center"/>
          </w:tcPr>
          <w:p w14:paraId="000000AA"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42,58%</w:t>
            </w:r>
          </w:p>
        </w:tc>
        <w:tc>
          <w:tcPr>
            <w:tcW w:w="1673" w:type="dxa"/>
            <w:vAlign w:val="center"/>
          </w:tcPr>
          <w:p w14:paraId="000000AB"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35,98%</w:t>
            </w:r>
          </w:p>
        </w:tc>
      </w:tr>
      <w:tr w:rsidR="00E32736" w14:paraId="0F67FDB1" w14:textId="77777777">
        <w:trPr>
          <w:trHeight w:val="397"/>
        </w:trPr>
        <w:tc>
          <w:tcPr>
            <w:tcW w:w="2437" w:type="dxa"/>
            <w:vAlign w:val="center"/>
          </w:tcPr>
          <w:p w14:paraId="000000AC" w14:textId="77777777" w:rsidR="00E32736" w:rsidRDefault="00E1541E">
            <w:pPr>
              <w:widowControl w:val="0"/>
              <w:rPr>
                <w:rFonts w:ascii="Arial" w:eastAsia="Arial" w:hAnsi="Arial" w:cs="Arial"/>
                <w:sz w:val="18"/>
                <w:szCs w:val="18"/>
              </w:rPr>
            </w:pPr>
            <w:r>
              <w:rPr>
                <w:rFonts w:ascii="Arial" w:eastAsia="Arial" w:hAnsi="Arial" w:cs="Arial"/>
                <w:sz w:val="18"/>
                <w:szCs w:val="18"/>
              </w:rPr>
              <w:t>London</w:t>
            </w:r>
          </w:p>
        </w:tc>
        <w:tc>
          <w:tcPr>
            <w:tcW w:w="1674" w:type="dxa"/>
            <w:vAlign w:val="center"/>
          </w:tcPr>
          <w:p w14:paraId="000000AD"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28,15%</w:t>
            </w:r>
          </w:p>
        </w:tc>
        <w:tc>
          <w:tcPr>
            <w:tcW w:w="1672" w:type="dxa"/>
            <w:vAlign w:val="center"/>
          </w:tcPr>
          <w:p w14:paraId="000000AE"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27,46%</w:t>
            </w:r>
          </w:p>
        </w:tc>
        <w:tc>
          <w:tcPr>
            <w:tcW w:w="1674" w:type="dxa"/>
            <w:vAlign w:val="center"/>
          </w:tcPr>
          <w:p w14:paraId="000000AF"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44,76%</w:t>
            </w:r>
          </w:p>
        </w:tc>
        <w:tc>
          <w:tcPr>
            <w:tcW w:w="1673" w:type="dxa"/>
            <w:vAlign w:val="center"/>
          </w:tcPr>
          <w:p w14:paraId="000000B0"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47,18%</w:t>
            </w:r>
          </w:p>
        </w:tc>
      </w:tr>
      <w:tr w:rsidR="00E32736" w14:paraId="237C32E3" w14:textId="77777777">
        <w:trPr>
          <w:trHeight w:val="397"/>
        </w:trPr>
        <w:tc>
          <w:tcPr>
            <w:tcW w:w="2437" w:type="dxa"/>
            <w:vAlign w:val="center"/>
          </w:tcPr>
          <w:p w14:paraId="000000B1" w14:textId="77777777" w:rsidR="00E32736" w:rsidRDefault="00E1541E">
            <w:pPr>
              <w:widowControl w:val="0"/>
              <w:rPr>
                <w:rFonts w:ascii="Arial" w:eastAsia="Arial" w:hAnsi="Arial" w:cs="Arial"/>
                <w:sz w:val="18"/>
                <w:szCs w:val="18"/>
              </w:rPr>
            </w:pPr>
            <w:r>
              <w:rPr>
                <w:rFonts w:ascii="Arial" w:eastAsia="Arial" w:hAnsi="Arial" w:cs="Arial"/>
                <w:sz w:val="18"/>
                <w:szCs w:val="18"/>
              </w:rPr>
              <w:t>Windsor-Sarnia</w:t>
            </w:r>
          </w:p>
        </w:tc>
        <w:tc>
          <w:tcPr>
            <w:tcW w:w="1674" w:type="dxa"/>
            <w:vAlign w:val="center"/>
          </w:tcPr>
          <w:p w14:paraId="000000B2"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28,80%</w:t>
            </w:r>
          </w:p>
        </w:tc>
        <w:tc>
          <w:tcPr>
            <w:tcW w:w="1672" w:type="dxa"/>
            <w:vAlign w:val="center"/>
          </w:tcPr>
          <w:p w14:paraId="000000B3"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34,84%</w:t>
            </w:r>
          </w:p>
        </w:tc>
        <w:tc>
          <w:tcPr>
            <w:tcW w:w="1674" w:type="dxa"/>
            <w:vAlign w:val="center"/>
          </w:tcPr>
          <w:p w14:paraId="000000B4"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42,75%</w:t>
            </w:r>
          </w:p>
        </w:tc>
        <w:tc>
          <w:tcPr>
            <w:tcW w:w="1673" w:type="dxa"/>
            <w:vAlign w:val="center"/>
          </w:tcPr>
          <w:p w14:paraId="000000B5"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41,11%</w:t>
            </w:r>
          </w:p>
        </w:tc>
      </w:tr>
      <w:tr w:rsidR="00E32736" w14:paraId="6EB90228" w14:textId="77777777">
        <w:trPr>
          <w:trHeight w:val="397"/>
        </w:trPr>
        <w:tc>
          <w:tcPr>
            <w:tcW w:w="2437" w:type="dxa"/>
            <w:vAlign w:val="center"/>
          </w:tcPr>
          <w:p w14:paraId="000000B6" w14:textId="77777777" w:rsidR="00E32736" w:rsidRDefault="00E1541E">
            <w:pPr>
              <w:widowControl w:val="0"/>
              <w:rPr>
                <w:rFonts w:ascii="Arial" w:eastAsia="Arial" w:hAnsi="Arial" w:cs="Arial"/>
                <w:sz w:val="18"/>
                <w:szCs w:val="18"/>
              </w:rPr>
            </w:pPr>
            <w:proofErr w:type="spellStart"/>
            <w:r>
              <w:rPr>
                <w:rFonts w:ascii="Arial" w:eastAsia="Arial" w:hAnsi="Arial" w:cs="Arial"/>
                <w:sz w:val="18"/>
                <w:szCs w:val="18"/>
              </w:rPr>
              <w:t>Stratford</w:t>
            </w:r>
            <w:proofErr w:type="spellEnd"/>
            <w:r>
              <w:rPr>
                <w:rFonts w:ascii="Arial" w:eastAsia="Arial" w:hAnsi="Arial" w:cs="Arial"/>
                <w:sz w:val="18"/>
                <w:szCs w:val="18"/>
              </w:rPr>
              <w:t xml:space="preserve">-Bruce </w:t>
            </w:r>
            <w:proofErr w:type="spellStart"/>
            <w:r>
              <w:rPr>
                <w:rFonts w:ascii="Arial" w:eastAsia="Arial" w:hAnsi="Arial" w:cs="Arial"/>
                <w:sz w:val="18"/>
                <w:szCs w:val="18"/>
              </w:rPr>
              <w:t>Peninsula</w:t>
            </w:r>
            <w:proofErr w:type="spellEnd"/>
          </w:p>
        </w:tc>
        <w:tc>
          <w:tcPr>
            <w:tcW w:w="1674" w:type="dxa"/>
            <w:vAlign w:val="center"/>
          </w:tcPr>
          <w:p w14:paraId="000000B7"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30,37%</w:t>
            </w:r>
          </w:p>
        </w:tc>
        <w:tc>
          <w:tcPr>
            <w:tcW w:w="1672" w:type="dxa"/>
            <w:vAlign w:val="center"/>
          </w:tcPr>
          <w:p w14:paraId="000000B8"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26,61%</w:t>
            </w:r>
          </w:p>
        </w:tc>
        <w:tc>
          <w:tcPr>
            <w:tcW w:w="1674" w:type="dxa"/>
            <w:vAlign w:val="center"/>
          </w:tcPr>
          <w:p w14:paraId="000000B9"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45,43%</w:t>
            </w:r>
          </w:p>
        </w:tc>
        <w:tc>
          <w:tcPr>
            <w:tcW w:w="1673" w:type="dxa"/>
            <w:vAlign w:val="center"/>
          </w:tcPr>
          <w:p w14:paraId="000000BA"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55,05%</w:t>
            </w:r>
          </w:p>
        </w:tc>
      </w:tr>
      <w:tr w:rsidR="00E32736" w14:paraId="4A94B49D" w14:textId="77777777">
        <w:trPr>
          <w:trHeight w:val="397"/>
        </w:trPr>
        <w:tc>
          <w:tcPr>
            <w:tcW w:w="2437" w:type="dxa"/>
            <w:vAlign w:val="center"/>
          </w:tcPr>
          <w:p w14:paraId="000000BB" w14:textId="77777777" w:rsidR="00E32736" w:rsidRDefault="00E1541E">
            <w:pPr>
              <w:widowControl w:val="0"/>
              <w:rPr>
                <w:rFonts w:ascii="Arial" w:eastAsia="Arial" w:hAnsi="Arial" w:cs="Arial"/>
                <w:sz w:val="18"/>
                <w:szCs w:val="18"/>
              </w:rPr>
            </w:pPr>
            <w:proofErr w:type="spellStart"/>
            <w:r>
              <w:rPr>
                <w:rFonts w:ascii="Arial" w:eastAsia="Arial" w:hAnsi="Arial" w:cs="Arial"/>
                <w:sz w:val="18"/>
                <w:szCs w:val="18"/>
              </w:rPr>
              <w:t>Northeast</w:t>
            </w:r>
            <w:proofErr w:type="spellEnd"/>
          </w:p>
        </w:tc>
        <w:tc>
          <w:tcPr>
            <w:tcW w:w="1674" w:type="dxa"/>
            <w:vAlign w:val="center"/>
          </w:tcPr>
          <w:p w14:paraId="000000BC"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32,18%</w:t>
            </w:r>
          </w:p>
        </w:tc>
        <w:tc>
          <w:tcPr>
            <w:tcW w:w="1672" w:type="dxa"/>
            <w:vAlign w:val="center"/>
          </w:tcPr>
          <w:p w14:paraId="000000BD"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49,68%</w:t>
            </w:r>
          </w:p>
        </w:tc>
        <w:tc>
          <w:tcPr>
            <w:tcW w:w="1674" w:type="dxa"/>
            <w:vAlign w:val="center"/>
          </w:tcPr>
          <w:p w14:paraId="000000BE"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43,68%</w:t>
            </w:r>
          </w:p>
        </w:tc>
        <w:tc>
          <w:tcPr>
            <w:tcW w:w="1673" w:type="dxa"/>
            <w:vAlign w:val="center"/>
          </w:tcPr>
          <w:p w14:paraId="000000BF"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32,87%</w:t>
            </w:r>
          </w:p>
        </w:tc>
      </w:tr>
      <w:tr w:rsidR="00E32736" w14:paraId="45E1BD15" w14:textId="77777777">
        <w:trPr>
          <w:trHeight w:val="397"/>
        </w:trPr>
        <w:tc>
          <w:tcPr>
            <w:tcW w:w="2437" w:type="dxa"/>
            <w:vAlign w:val="center"/>
          </w:tcPr>
          <w:p w14:paraId="000000C0" w14:textId="77777777" w:rsidR="00E32736" w:rsidRDefault="00E1541E">
            <w:pPr>
              <w:widowControl w:val="0"/>
              <w:rPr>
                <w:rFonts w:ascii="Arial" w:eastAsia="Arial" w:hAnsi="Arial" w:cs="Arial"/>
                <w:sz w:val="18"/>
                <w:szCs w:val="18"/>
              </w:rPr>
            </w:pPr>
            <w:proofErr w:type="spellStart"/>
            <w:r>
              <w:rPr>
                <w:rFonts w:ascii="Arial" w:eastAsia="Arial" w:hAnsi="Arial" w:cs="Arial"/>
                <w:sz w:val="18"/>
                <w:szCs w:val="18"/>
              </w:rPr>
              <w:t>Northwest</w:t>
            </w:r>
            <w:proofErr w:type="spellEnd"/>
          </w:p>
        </w:tc>
        <w:tc>
          <w:tcPr>
            <w:tcW w:w="1674" w:type="dxa"/>
            <w:vAlign w:val="center"/>
          </w:tcPr>
          <w:p w14:paraId="000000C1"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33,78%</w:t>
            </w:r>
          </w:p>
        </w:tc>
        <w:tc>
          <w:tcPr>
            <w:tcW w:w="1672" w:type="dxa"/>
            <w:vAlign w:val="center"/>
          </w:tcPr>
          <w:p w14:paraId="000000C2"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53,42%</w:t>
            </w:r>
          </w:p>
        </w:tc>
        <w:tc>
          <w:tcPr>
            <w:tcW w:w="1674" w:type="dxa"/>
            <w:vAlign w:val="center"/>
          </w:tcPr>
          <w:p w14:paraId="000000C3"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45,14%</w:t>
            </w:r>
          </w:p>
        </w:tc>
        <w:tc>
          <w:tcPr>
            <w:tcW w:w="1673" w:type="dxa"/>
            <w:vAlign w:val="center"/>
          </w:tcPr>
          <w:p w14:paraId="000000C4" w14:textId="77777777" w:rsidR="00E32736" w:rsidRDefault="00E1541E">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31,68%</w:t>
            </w:r>
          </w:p>
        </w:tc>
      </w:tr>
    </w:tbl>
    <w:p w14:paraId="000000C5" w14:textId="77777777" w:rsidR="00E32736" w:rsidRDefault="00E1541E">
      <w:pPr>
        <w:spacing w:after="0" w:line="240" w:lineRule="auto"/>
        <w:jc w:val="both"/>
        <w:rPr>
          <w:rFonts w:ascii="Arial" w:eastAsia="Arial" w:hAnsi="Arial" w:cs="Arial"/>
          <w:sz w:val="18"/>
          <w:szCs w:val="18"/>
        </w:rPr>
      </w:pPr>
      <w:r>
        <w:rPr>
          <w:rFonts w:ascii="Arial" w:eastAsia="Arial" w:hAnsi="Arial" w:cs="Arial"/>
          <w:sz w:val="18"/>
          <w:szCs w:val="18"/>
        </w:rPr>
        <w:t xml:space="preserve">Fonte: </w:t>
      </w:r>
      <w:proofErr w:type="spellStart"/>
      <w:r>
        <w:rPr>
          <w:rFonts w:ascii="Arial" w:eastAsia="Arial" w:hAnsi="Arial" w:cs="Arial"/>
          <w:sz w:val="18"/>
          <w:szCs w:val="18"/>
        </w:rPr>
        <w:t>Statistics</w:t>
      </w:r>
      <w:proofErr w:type="spellEnd"/>
      <w:r>
        <w:rPr>
          <w:rFonts w:ascii="Arial" w:eastAsia="Arial" w:hAnsi="Arial" w:cs="Arial"/>
          <w:sz w:val="18"/>
          <w:szCs w:val="18"/>
        </w:rPr>
        <w:t xml:space="preserve"> Canada, </w:t>
      </w:r>
      <w:proofErr w:type="spellStart"/>
      <w:r>
        <w:rPr>
          <w:rFonts w:ascii="Arial" w:eastAsia="Arial" w:hAnsi="Arial" w:cs="Arial"/>
          <w:sz w:val="18"/>
          <w:szCs w:val="18"/>
        </w:rPr>
        <w:t>Census</w:t>
      </w:r>
      <w:proofErr w:type="spellEnd"/>
      <w:r>
        <w:rPr>
          <w:rFonts w:ascii="Arial" w:eastAsia="Arial" w:hAnsi="Arial" w:cs="Arial"/>
          <w:sz w:val="18"/>
          <w:szCs w:val="18"/>
        </w:rPr>
        <w:t>, 2016.</w:t>
      </w:r>
    </w:p>
    <w:p w14:paraId="000000C6" w14:textId="77777777" w:rsidR="00E32736" w:rsidRDefault="00E1541E">
      <w:pPr>
        <w:spacing w:after="0" w:line="240" w:lineRule="auto"/>
        <w:jc w:val="both"/>
      </w:pPr>
      <w:r>
        <w:rPr>
          <w:rFonts w:ascii="Arial" w:eastAsia="Arial" w:hAnsi="Arial" w:cs="Arial"/>
          <w:sz w:val="18"/>
          <w:szCs w:val="18"/>
        </w:rPr>
        <w:t>Organização: os autores.</w:t>
      </w:r>
    </w:p>
    <w:p w14:paraId="000000C7" w14:textId="77777777" w:rsidR="00E32736" w:rsidRDefault="00E1541E">
      <w:pPr>
        <w:spacing w:before="120" w:after="120" w:line="240" w:lineRule="auto"/>
        <w:ind w:firstLine="1134"/>
        <w:jc w:val="both"/>
        <w:rPr>
          <w:rFonts w:ascii="Arial" w:eastAsia="Arial" w:hAnsi="Arial" w:cs="Arial"/>
        </w:rPr>
      </w:pPr>
      <w:r>
        <w:rPr>
          <w:rFonts w:ascii="Arial" w:eastAsia="Arial" w:hAnsi="Arial" w:cs="Arial"/>
          <w:color w:val="000000"/>
        </w:rPr>
        <w:t xml:space="preserve">Os mapas 07 e 08 apresentam a espacialização do </w:t>
      </w:r>
      <w:r>
        <w:rPr>
          <w:rFonts w:ascii="Arial" w:eastAsia="Arial" w:hAnsi="Arial" w:cs="Arial"/>
        </w:rPr>
        <w:t>IMM</w:t>
      </w:r>
      <w:r>
        <w:rPr>
          <w:rFonts w:ascii="Arial" w:eastAsia="Arial" w:hAnsi="Arial" w:cs="Arial"/>
          <w:color w:val="000000"/>
        </w:rPr>
        <w:t xml:space="preserve"> linguístico de educação para ambos os indicadores analisados. Neles ficam apresentados a desigualdade entre francófonos e anglófonos no que diz respeito </w:t>
      </w:r>
      <w:r>
        <w:rPr>
          <w:rFonts w:ascii="Arial" w:eastAsia="Arial" w:hAnsi="Arial" w:cs="Arial"/>
        </w:rPr>
        <w:t>aos níveis</w:t>
      </w:r>
      <w:r>
        <w:rPr>
          <w:rFonts w:ascii="Arial" w:eastAsia="Arial" w:hAnsi="Arial" w:cs="Arial"/>
          <w:color w:val="000000"/>
        </w:rPr>
        <w:t xml:space="preserve"> educacionais dessas populações em Ontário. </w:t>
      </w:r>
    </w:p>
    <w:p w14:paraId="000000C8" w14:textId="77777777" w:rsidR="00E32736" w:rsidRDefault="00E1541E">
      <w:pPr>
        <w:spacing w:before="120" w:after="120" w:line="240" w:lineRule="auto"/>
        <w:ind w:firstLine="1134"/>
        <w:jc w:val="both"/>
        <w:rPr>
          <w:rFonts w:ascii="Arial" w:eastAsia="Arial" w:hAnsi="Arial" w:cs="Arial"/>
          <w:color w:val="000000"/>
        </w:rPr>
      </w:pPr>
      <w:r>
        <w:rPr>
          <w:rFonts w:ascii="Arial" w:eastAsia="Arial" w:hAnsi="Arial" w:cs="Arial"/>
          <w:color w:val="000000"/>
        </w:rPr>
        <w:t>O mapa 07 (à esquerda) representa o índice minoria/maioria da porcentagem de idosos sem certificado ou diploma educacional. É notável a presença de seis regiões com desigualdade pejorativa intensa, Ottawa, Kitchener-Waterloo-</w:t>
      </w:r>
      <w:proofErr w:type="spellStart"/>
      <w:r>
        <w:rPr>
          <w:rFonts w:ascii="Arial" w:eastAsia="Arial" w:hAnsi="Arial" w:cs="Arial"/>
          <w:color w:val="000000"/>
        </w:rPr>
        <w:t>Barrie</w:t>
      </w:r>
      <w:proofErr w:type="spellEnd"/>
      <w:r>
        <w:rPr>
          <w:rFonts w:ascii="Arial" w:eastAsia="Arial" w:hAnsi="Arial" w:cs="Arial"/>
          <w:color w:val="000000"/>
        </w:rPr>
        <w:t xml:space="preserve">, Hamilton-Niagara </w:t>
      </w:r>
      <w:proofErr w:type="spellStart"/>
      <w:r>
        <w:rPr>
          <w:rFonts w:ascii="Arial" w:eastAsia="Arial" w:hAnsi="Arial" w:cs="Arial"/>
          <w:color w:val="000000"/>
        </w:rPr>
        <w:t>Peninsula</w:t>
      </w:r>
      <w:proofErr w:type="spellEnd"/>
      <w:r>
        <w:rPr>
          <w:rFonts w:ascii="Arial" w:eastAsia="Arial" w:hAnsi="Arial" w:cs="Arial"/>
          <w:color w:val="000000"/>
        </w:rPr>
        <w:t xml:space="preserve">, Windsor-Sarnia, </w:t>
      </w:r>
      <w:proofErr w:type="spellStart"/>
      <w:r>
        <w:rPr>
          <w:rFonts w:ascii="Arial" w:eastAsia="Arial" w:hAnsi="Arial" w:cs="Arial"/>
          <w:color w:val="000000"/>
        </w:rPr>
        <w:t>Northeast</w:t>
      </w:r>
      <w:proofErr w:type="spellEnd"/>
      <w:r>
        <w:rPr>
          <w:rFonts w:ascii="Arial" w:eastAsia="Arial" w:hAnsi="Arial" w:cs="Arial"/>
          <w:color w:val="000000"/>
        </w:rPr>
        <w:t xml:space="preserve"> e </w:t>
      </w:r>
      <w:proofErr w:type="spellStart"/>
      <w:r>
        <w:rPr>
          <w:rFonts w:ascii="Arial" w:eastAsia="Arial" w:hAnsi="Arial" w:cs="Arial"/>
          <w:color w:val="000000"/>
        </w:rPr>
        <w:t>Northwest</w:t>
      </w:r>
      <w:proofErr w:type="spellEnd"/>
      <w:r>
        <w:rPr>
          <w:rFonts w:ascii="Arial" w:eastAsia="Arial" w:hAnsi="Arial" w:cs="Arial"/>
          <w:color w:val="000000"/>
        </w:rPr>
        <w:t xml:space="preserve"> apresentaram resultados superiores a 1,20. Em </w:t>
      </w:r>
      <w:proofErr w:type="spellStart"/>
      <w:r>
        <w:rPr>
          <w:rFonts w:ascii="Arial" w:eastAsia="Arial" w:hAnsi="Arial" w:cs="Arial"/>
          <w:color w:val="000000"/>
        </w:rPr>
        <w:t>Muskoka-Kawarthas</w:t>
      </w:r>
      <w:proofErr w:type="spellEnd"/>
      <w:r>
        <w:rPr>
          <w:rFonts w:ascii="Arial" w:eastAsia="Arial" w:hAnsi="Arial" w:cs="Arial"/>
          <w:color w:val="000000"/>
        </w:rPr>
        <w:t xml:space="preserve"> foi identificado uma desigualdade pejorativa moderada. </w:t>
      </w:r>
      <w:r>
        <w:rPr>
          <w:rFonts w:ascii="Arial" w:eastAsia="Arial" w:hAnsi="Arial" w:cs="Arial"/>
          <w:color w:val="000000"/>
        </w:rPr>
        <w:lastRenderedPageBreak/>
        <w:t xml:space="preserve">Kingston-Pembroke, Toronto e </w:t>
      </w:r>
      <w:proofErr w:type="spellStart"/>
      <w:r>
        <w:rPr>
          <w:rFonts w:ascii="Arial" w:eastAsia="Arial" w:hAnsi="Arial" w:cs="Arial"/>
          <w:color w:val="000000"/>
        </w:rPr>
        <w:t>Stratford</w:t>
      </w:r>
      <w:proofErr w:type="spellEnd"/>
      <w:r>
        <w:rPr>
          <w:rFonts w:ascii="Arial" w:eastAsia="Arial" w:hAnsi="Arial" w:cs="Arial"/>
          <w:color w:val="000000"/>
        </w:rPr>
        <w:t xml:space="preserve">-Bruce </w:t>
      </w:r>
      <w:proofErr w:type="spellStart"/>
      <w:r>
        <w:rPr>
          <w:rFonts w:ascii="Arial" w:eastAsia="Arial" w:hAnsi="Arial" w:cs="Arial"/>
          <w:color w:val="000000"/>
        </w:rPr>
        <w:t>Peninsula</w:t>
      </w:r>
      <w:proofErr w:type="spellEnd"/>
      <w:r>
        <w:rPr>
          <w:rFonts w:ascii="Arial" w:eastAsia="Arial" w:hAnsi="Arial" w:cs="Arial"/>
          <w:color w:val="000000"/>
        </w:rPr>
        <w:t xml:space="preserve"> apresentaram desigualdade favorável moderada aos francófonos. </w:t>
      </w:r>
    </w:p>
    <w:p w14:paraId="000000C9" w14:textId="77777777" w:rsidR="00E32736" w:rsidRDefault="00E1541E">
      <w:pPr>
        <w:spacing w:before="120" w:after="120" w:line="240" w:lineRule="auto"/>
        <w:ind w:firstLine="1134"/>
        <w:jc w:val="both"/>
        <w:rPr>
          <w:rFonts w:ascii="Arial" w:eastAsia="Arial" w:hAnsi="Arial" w:cs="Arial"/>
          <w:sz w:val="18"/>
          <w:szCs w:val="18"/>
        </w:rPr>
      </w:pPr>
      <w:r>
        <w:rPr>
          <w:rFonts w:ascii="Arial" w:eastAsia="Arial" w:hAnsi="Arial" w:cs="Arial"/>
          <w:color w:val="000000"/>
        </w:rPr>
        <w:t xml:space="preserve">O mapa 08 (à direita) demonstra o IMM linguístico da porcentagem de idosos com diploma pós-secundário. Nesse mapa é possível identificar uma distribuição um pouco mais heterogênea. Apenas duas regiões, a </w:t>
      </w:r>
      <w:proofErr w:type="spellStart"/>
      <w:r>
        <w:rPr>
          <w:rFonts w:ascii="Arial" w:eastAsia="Arial" w:hAnsi="Arial" w:cs="Arial"/>
          <w:color w:val="000000"/>
        </w:rPr>
        <w:t>Northeast</w:t>
      </w:r>
      <w:proofErr w:type="spellEnd"/>
      <w:r>
        <w:rPr>
          <w:rFonts w:ascii="Arial" w:eastAsia="Arial" w:hAnsi="Arial" w:cs="Arial"/>
          <w:color w:val="000000"/>
        </w:rPr>
        <w:t xml:space="preserve"> e </w:t>
      </w:r>
      <w:proofErr w:type="spellStart"/>
      <w:r>
        <w:rPr>
          <w:rFonts w:ascii="Arial" w:eastAsia="Arial" w:hAnsi="Arial" w:cs="Arial"/>
          <w:color w:val="000000"/>
        </w:rPr>
        <w:t>Northwest</w:t>
      </w:r>
      <w:proofErr w:type="spellEnd"/>
      <w:r>
        <w:rPr>
          <w:rFonts w:ascii="Arial" w:eastAsia="Arial" w:hAnsi="Arial" w:cs="Arial"/>
          <w:color w:val="000000"/>
        </w:rPr>
        <w:t>, apresentaram desigualdade desfavorável intensa. Em outras três regiões, há uma desigualdade desfavorável moderada, Ottawa, Kitchener-Waterloo-</w:t>
      </w:r>
      <w:proofErr w:type="spellStart"/>
      <w:r>
        <w:rPr>
          <w:rFonts w:ascii="Arial" w:eastAsia="Arial" w:hAnsi="Arial" w:cs="Arial"/>
          <w:color w:val="000000"/>
        </w:rPr>
        <w:t>Barrie</w:t>
      </w:r>
      <w:proofErr w:type="spellEnd"/>
      <w:r>
        <w:rPr>
          <w:rFonts w:ascii="Arial" w:eastAsia="Arial" w:hAnsi="Arial" w:cs="Arial"/>
          <w:color w:val="000000"/>
        </w:rPr>
        <w:t xml:space="preserve"> e Hamilton-Niagara. Em Kingston-Pembroke, Toronto e London, os resultados indicam uma desigualdade favorável moderada e apenas </w:t>
      </w:r>
      <w:proofErr w:type="spellStart"/>
      <w:r>
        <w:rPr>
          <w:rFonts w:ascii="Arial" w:eastAsia="Arial" w:hAnsi="Arial" w:cs="Arial"/>
          <w:color w:val="000000"/>
        </w:rPr>
        <w:t>Stratford</w:t>
      </w:r>
      <w:proofErr w:type="spellEnd"/>
      <w:r>
        <w:rPr>
          <w:rFonts w:ascii="Arial" w:eastAsia="Arial" w:hAnsi="Arial" w:cs="Arial"/>
          <w:color w:val="000000"/>
        </w:rPr>
        <w:t xml:space="preserve">-Bruce </w:t>
      </w:r>
      <w:proofErr w:type="spellStart"/>
      <w:r>
        <w:rPr>
          <w:rFonts w:ascii="Arial" w:eastAsia="Arial" w:hAnsi="Arial" w:cs="Arial"/>
          <w:color w:val="000000"/>
        </w:rPr>
        <w:t>Peninsula</w:t>
      </w:r>
      <w:proofErr w:type="spellEnd"/>
      <w:r>
        <w:rPr>
          <w:rFonts w:ascii="Arial" w:eastAsia="Arial" w:hAnsi="Arial" w:cs="Arial"/>
          <w:color w:val="000000"/>
        </w:rPr>
        <w:t xml:space="preserve"> há uma desigualdade favorável intensa para os francófonos daquela região. </w:t>
      </w:r>
    </w:p>
    <w:p w14:paraId="000000CA" w14:textId="77777777" w:rsidR="00E32736" w:rsidRDefault="00E1541E">
      <w:pPr>
        <w:tabs>
          <w:tab w:val="left" w:pos="1614"/>
        </w:tabs>
        <w:spacing w:before="120" w:after="120"/>
        <w:jc w:val="center"/>
        <w:rPr>
          <w:rFonts w:ascii="Arial" w:eastAsia="Arial" w:hAnsi="Arial" w:cs="Arial"/>
          <w:color w:val="000000"/>
        </w:rPr>
      </w:pPr>
      <w:r>
        <w:rPr>
          <w:rFonts w:ascii="Arial" w:eastAsia="Arial" w:hAnsi="Arial" w:cs="Arial"/>
          <w:color w:val="000000"/>
        </w:rPr>
        <w:t>Mapa 07 e 08: Índice Minoria/Maioria Linguística de Educação em Ontário, Canadá</w:t>
      </w:r>
    </w:p>
    <w:p w14:paraId="000000CB" w14:textId="77777777" w:rsidR="00E32736" w:rsidRDefault="00E1541E">
      <w:pPr>
        <w:spacing w:before="170" w:after="119"/>
        <w:jc w:val="both"/>
        <w:rPr>
          <w:rFonts w:ascii="Arial" w:eastAsia="Arial" w:hAnsi="Arial" w:cs="Arial"/>
          <w:b/>
        </w:rPr>
      </w:pPr>
      <w:r>
        <w:rPr>
          <w:noProof/>
        </w:rPr>
        <w:drawing>
          <wp:anchor distT="0" distB="0" distL="0" distR="0" simplePos="0" relativeHeight="251661312" behindDoc="0" locked="0" layoutInCell="1" hidden="0" allowOverlap="1">
            <wp:simplePos x="0" y="0"/>
            <wp:positionH relativeFrom="column">
              <wp:posOffset>-309</wp:posOffset>
            </wp:positionH>
            <wp:positionV relativeFrom="paragraph">
              <wp:posOffset>32852</wp:posOffset>
            </wp:positionV>
            <wp:extent cx="5760085" cy="3732530"/>
            <wp:effectExtent l="0" t="0" r="0" b="0"/>
            <wp:wrapSquare wrapText="bothSides" distT="0" distB="0" distL="0" distR="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60085" cy="3732530"/>
                    </a:xfrm>
                    <a:prstGeom prst="rect">
                      <a:avLst/>
                    </a:prstGeom>
                    <a:ln/>
                  </pic:spPr>
                </pic:pic>
              </a:graphicData>
            </a:graphic>
          </wp:anchor>
        </w:drawing>
      </w:r>
    </w:p>
    <w:p w14:paraId="000000CC" w14:textId="77777777" w:rsidR="00E32736" w:rsidRDefault="00E1541E">
      <w:pPr>
        <w:spacing w:before="170" w:after="119"/>
        <w:jc w:val="both"/>
        <w:rPr>
          <w:rFonts w:ascii="Arial" w:eastAsia="Arial" w:hAnsi="Arial" w:cs="Arial"/>
          <w:b/>
        </w:rPr>
      </w:pPr>
      <w:r>
        <w:rPr>
          <w:rFonts w:ascii="Arial" w:eastAsia="Arial" w:hAnsi="Arial" w:cs="Arial"/>
          <w:b/>
        </w:rPr>
        <w:t>CONSIDERAÇÕES FINAIS:</w:t>
      </w:r>
    </w:p>
    <w:p w14:paraId="000000CD" w14:textId="77777777" w:rsidR="00E32736" w:rsidRDefault="00E1541E">
      <w:pPr>
        <w:spacing w:before="120" w:after="120"/>
        <w:ind w:firstLine="1134"/>
        <w:jc w:val="both"/>
        <w:rPr>
          <w:rFonts w:ascii="Arial" w:eastAsia="Arial" w:hAnsi="Arial" w:cs="Arial"/>
        </w:rPr>
      </w:pPr>
      <w:r>
        <w:rPr>
          <w:rFonts w:ascii="Arial" w:eastAsia="Arial" w:hAnsi="Arial" w:cs="Arial"/>
        </w:rPr>
        <w:t xml:space="preserve">Primeiramente, faz-se necessário reforçar a importância e relevância do tema de investigação. A busca por condições de vida digna deve ser central em todas as políticas públicas, de maneira a garantir saúde aos cidadãos. Ainda, as nuances da condição de minoria linguística e a discrepância nos meios de subsistência dessas comunidades pressionam para o necessário debate acadêmico e político sobre o assunto. </w:t>
      </w:r>
    </w:p>
    <w:p w14:paraId="000000CE" w14:textId="77777777" w:rsidR="00E32736" w:rsidRDefault="00E1541E">
      <w:pPr>
        <w:spacing w:before="120" w:after="120"/>
        <w:ind w:firstLine="1134"/>
        <w:jc w:val="both"/>
        <w:rPr>
          <w:rFonts w:ascii="Arial" w:eastAsia="Arial" w:hAnsi="Arial" w:cs="Arial"/>
        </w:rPr>
      </w:pPr>
      <w:r>
        <w:rPr>
          <w:rFonts w:ascii="Arial" w:eastAsia="Arial" w:hAnsi="Arial" w:cs="Arial"/>
        </w:rPr>
        <w:lastRenderedPageBreak/>
        <w:t xml:space="preserve">As análises trazidas por este artigo ainda são introdutórias, porém se mostram suficientes para sustentar que a condição de minoria linguística é definitivamente um determinante social, sendo um catalisador de outros, como envelhecimento, renda e educação, como evidenciado nos resultados. </w:t>
      </w:r>
    </w:p>
    <w:p w14:paraId="000000CF" w14:textId="77777777" w:rsidR="00E32736" w:rsidRDefault="00E1541E">
      <w:pPr>
        <w:spacing w:before="120" w:after="120"/>
        <w:ind w:firstLine="1134"/>
        <w:jc w:val="both"/>
        <w:rPr>
          <w:rFonts w:ascii="Arial" w:eastAsia="Arial" w:hAnsi="Arial" w:cs="Arial"/>
        </w:rPr>
      </w:pPr>
      <w:r>
        <w:rPr>
          <w:rFonts w:ascii="Arial" w:eastAsia="Arial" w:hAnsi="Arial" w:cs="Arial"/>
        </w:rPr>
        <w:t xml:space="preserve">Os francófonos em situação minoritária linguística em Ontário, sofrem com um processo de envelhecimento mais grave que entre os anglófonos, maioria linguística na província. Além disso, em sua maioria são mais pobres e possuem menos instrução. Em relação à renda, idosos francófonos recebem, em média, menos que anglófonos em todas as regiões de Ontário. Além disso, em nove delas, há uma porcentagem maior de idosos de baixa renda entre o grupo minoritário. Em relação a educação, idosos em situação linguística </w:t>
      </w:r>
      <w:proofErr w:type="gramStart"/>
      <w:r>
        <w:rPr>
          <w:rFonts w:ascii="Arial" w:eastAsia="Arial" w:hAnsi="Arial" w:cs="Arial"/>
        </w:rPr>
        <w:t>minoritária  possuem</w:t>
      </w:r>
      <w:proofErr w:type="gramEnd"/>
      <w:r>
        <w:rPr>
          <w:rFonts w:ascii="Arial" w:eastAsia="Arial" w:hAnsi="Arial" w:cs="Arial"/>
        </w:rPr>
        <w:t xml:space="preserve"> em média 10,94% mais indivíduos sem qualquer certificado de educação. Ainda, em sete regiões, há uma porcentagem menor de idosos com ensino pós-secundário entre os francófonos.</w:t>
      </w:r>
    </w:p>
    <w:p w14:paraId="000000D0" w14:textId="77777777" w:rsidR="00E32736" w:rsidRDefault="00E1541E">
      <w:pPr>
        <w:spacing w:before="170" w:after="119"/>
        <w:jc w:val="both"/>
        <w:rPr>
          <w:rFonts w:ascii="Arial" w:eastAsia="Arial" w:hAnsi="Arial" w:cs="Arial"/>
          <w:b/>
        </w:rPr>
      </w:pPr>
      <w:r>
        <w:rPr>
          <w:rFonts w:ascii="Arial" w:eastAsia="Arial" w:hAnsi="Arial" w:cs="Arial"/>
          <w:b/>
        </w:rPr>
        <w:t>AGRADECIMENTOS:</w:t>
      </w:r>
    </w:p>
    <w:p w14:paraId="000000D1" w14:textId="77777777" w:rsidR="00E32736" w:rsidRDefault="00E1541E">
      <w:pPr>
        <w:spacing w:before="120" w:after="120"/>
        <w:jc w:val="both"/>
        <w:rPr>
          <w:rFonts w:ascii="Arial" w:eastAsia="Arial" w:hAnsi="Arial" w:cs="Arial"/>
        </w:rPr>
      </w:pPr>
      <w:r>
        <w:rPr>
          <w:rFonts w:ascii="Arial" w:eastAsia="Arial" w:hAnsi="Arial" w:cs="Arial"/>
        </w:rPr>
        <w:t xml:space="preserve">Agradecemos à Fundação de Amparo à Pesquisa do Estado de São Paulo (FAPESP) pelo apoio e financiamento do estágio de pesquisa internacional (2019/18509-3) realizado na Faculdade de Ciências Sociais da Universidade de Ottawa no Canadá, onde foram produzidos os resultados aqui apresentados. Agradecemos também à Direção-Geral de Línguas Oficiais do Canadian </w:t>
      </w:r>
      <w:proofErr w:type="spellStart"/>
      <w:r>
        <w:rPr>
          <w:rFonts w:ascii="Arial" w:eastAsia="Arial" w:hAnsi="Arial" w:cs="Arial"/>
        </w:rPr>
        <w:t>Heritage</w:t>
      </w:r>
      <w:proofErr w:type="spellEnd"/>
      <w:r>
        <w:rPr>
          <w:rFonts w:ascii="Arial" w:eastAsia="Arial" w:hAnsi="Arial" w:cs="Arial"/>
        </w:rPr>
        <w:t xml:space="preserve"> pelo apoio institucional e pela aquisição dos pacotes de dados do Censo. </w:t>
      </w:r>
    </w:p>
    <w:p w14:paraId="000000D2" w14:textId="77777777" w:rsidR="00E32736" w:rsidRDefault="00E32736">
      <w:pPr>
        <w:spacing w:before="120" w:after="120"/>
        <w:jc w:val="both"/>
        <w:rPr>
          <w:rFonts w:ascii="Arial" w:eastAsia="Arial" w:hAnsi="Arial" w:cs="Arial"/>
        </w:rPr>
      </w:pPr>
    </w:p>
    <w:p w14:paraId="000000D3" w14:textId="77777777" w:rsidR="00E32736" w:rsidRPr="008842A5" w:rsidRDefault="00E1541E">
      <w:pPr>
        <w:spacing w:before="170" w:after="119" w:line="240" w:lineRule="auto"/>
        <w:jc w:val="both"/>
        <w:rPr>
          <w:rFonts w:ascii="Arial" w:eastAsia="Arial" w:hAnsi="Arial" w:cs="Arial"/>
          <w:color w:val="000000"/>
          <w:lang w:val="en-GB"/>
        </w:rPr>
      </w:pPr>
      <w:r w:rsidRPr="008842A5">
        <w:rPr>
          <w:rFonts w:ascii="Arial" w:eastAsia="Arial" w:hAnsi="Arial" w:cs="Arial"/>
          <w:b/>
          <w:lang w:val="en-GB"/>
        </w:rPr>
        <w:t>REFERÊNCIAS:</w:t>
      </w:r>
    </w:p>
    <w:p w14:paraId="000000D4"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lang w:val="en-GB"/>
        </w:rPr>
        <w:t xml:space="preserve">ADLER, N. E., STEWART, J. Health disparities across the lifespan: Meaning, methods, and mechanisms. </w:t>
      </w:r>
      <w:proofErr w:type="spellStart"/>
      <w:r w:rsidRPr="00BE2185">
        <w:rPr>
          <w:rFonts w:ascii="Arial" w:eastAsia="Arial" w:hAnsi="Arial" w:cs="Arial"/>
          <w:b/>
          <w:sz w:val="20"/>
          <w:szCs w:val="20"/>
          <w:highlight w:val="white"/>
        </w:rPr>
        <w:t>Annals</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of</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the</w:t>
      </w:r>
      <w:proofErr w:type="spellEnd"/>
      <w:r w:rsidRPr="00BE2185">
        <w:rPr>
          <w:rFonts w:ascii="Arial" w:eastAsia="Arial" w:hAnsi="Arial" w:cs="Arial"/>
          <w:b/>
          <w:sz w:val="20"/>
          <w:szCs w:val="20"/>
          <w:highlight w:val="white"/>
        </w:rPr>
        <w:t xml:space="preserve"> New York </w:t>
      </w:r>
      <w:proofErr w:type="spellStart"/>
      <w:r w:rsidRPr="00BE2185">
        <w:rPr>
          <w:rFonts w:ascii="Arial" w:eastAsia="Arial" w:hAnsi="Arial" w:cs="Arial"/>
          <w:b/>
          <w:sz w:val="20"/>
          <w:szCs w:val="20"/>
          <w:highlight w:val="white"/>
        </w:rPr>
        <w:t>Academy</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of</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Sciences</w:t>
      </w:r>
      <w:proofErr w:type="spellEnd"/>
      <w:r w:rsidRPr="00BE2185">
        <w:rPr>
          <w:rFonts w:ascii="Arial" w:eastAsia="Arial" w:hAnsi="Arial" w:cs="Arial"/>
          <w:sz w:val="20"/>
          <w:szCs w:val="20"/>
          <w:highlight w:val="white"/>
        </w:rPr>
        <w:t>, 1186, 5-23, 2010.</w:t>
      </w:r>
    </w:p>
    <w:p w14:paraId="000000D5"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rPr>
        <w:t xml:space="preserve">AROUCA, S. </w:t>
      </w:r>
      <w:r w:rsidRPr="00BE2185">
        <w:rPr>
          <w:rFonts w:ascii="Arial" w:eastAsia="Arial" w:hAnsi="Arial" w:cs="Arial"/>
          <w:b/>
          <w:sz w:val="20"/>
          <w:szCs w:val="20"/>
          <w:highlight w:val="white"/>
        </w:rPr>
        <w:t xml:space="preserve">O dilema </w:t>
      </w:r>
      <w:proofErr w:type="spellStart"/>
      <w:r w:rsidRPr="00BE2185">
        <w:rPr>
          <w:rFonts w:ascii="Arial" w:eastAsia="Arial" w:hAnsi="Arial" w:cs="Arial"/>
          <w:b/>
          <w:sz w:val="20"/>
          <w:szCs w:val="20"/>
          <w:highlight w:val="white"/>
        </w:rPr>
        <w:t>preventivista</w:t>
      </w:r>
      <w:proofErr w:type="spellEnd"/>
      <w:r w:rsidRPr="00BE2185">
        <w:rPr>
          <w:rFonts w:ascii="Arial" w:eastAsia="Arial" w:hAnsi="Arial" w:cs="Arial"/>
          <w:sz w:val="20"/>
          <w:szCs w:val="20"/>
          <w:highlight w:val="white"/>
        </w:rPr>
        <w:t>: contribuição para a compreensão e crítica da medicina preventiva. São Paulo, Rio de Janeiro: Editora Fiocruz, 2003.</w:t>
      </w:r>
    </w:p>
    <w:p w14:paraId="000000D6"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rPr>
        <w:t xml:space="preserve">BENDIMÉRAD, S. </w:t>
      </w:r>
      <w:proofErr w:type="spellStart"/>
      <w:r w:rsidRPr="00BE2185">
        <w:rPr>
          <w:rFonts w:ascii="Arial" w:eastAsia="Arial" w:hAnsi="Arial" w:cs="Arial"/>
          <w:sz w:val="20"/>
          <w:szCs w:val="20"/>
          <w:highlight w:val="white"/>
        </w:rPr>
        <w:t>Situations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générationnelles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territoires</w:t>
      </w:r>
      <w:proofErr w:type="spellEnd"/>
      <w:r w:rsidRPr="00BE2185">
        <w:rPr>
          <w:rFonts w:ascii="Arial" w:eastAsia="Arial" w:hAnsi="Arial" w:cs="Arial"/>
          <w:sz w:val="20"/>
          <w:szCs w:val="20"/>
          <w:highlight w:val="white"/>
        </w:rPr>
        <w:t xml:space="preserve"> domestiques et </w:t>
      </w:r>
      <w:proofErr w:type="spellStart"/>
      <w:r w:rsidRPr="00BE2185">
        <w:rPr>
          <w:rFonts w:ascii="Arial" w:eastAsia="Arial" w:hAnsi="Arial" w:cs="Arial"/>
          <w:sz w:val="20"/>
          <w:szCs w:val="20"/>
          <w:highlight w:val="white"/>
        </w:rPr>
        <w:t>densités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b/>
          <w:sz w:val="20"/>
          <w:szCs w:val="20"/>
          <w:highlight w:val="white"/>
        </w:rPr>
        <w:t>Gérontologie</w:t>
      </w:r>
      <w:proofErr w:type="spellEnd"/>
      <w:r w:rsidRPr="00BE2185">
        <w:rPr>
          <w:rFonts w:ascii="Arial" w:eastAsia="Arial" w:hAnsi="Arial" w:cs="Arial"/>
          <w:b/>
          <w:sz w:val="20"/>
          <w:szCs w:val="20"/>
          <w:highlight w:val="white"/>
        </w:rPr>
        <w:t xml:space="preserve"> et </w:t>
      </w:r>
      <w:proofErr w:type="spellStart"/>
      <w:r w:rsidRPr="00BE2185">
        <w:rPr>
          <w:rFonts w:ascii="Arial" w:eastAsia="Arial" w:hAnsi="Arial" w:cs="Arial"/>
          <w:b/>
          <w:sz w:val="20"/>
          <w:szCs w:val="20"/>
          <w:highlight w:val="white"/>
        </w:rPr>
        <w:t>société</w:t>
      </w:r>
      <w:proofErr w:type="spellEnd"/>
      <w:r w:rsidRPr="00BE2185">
        <w:rPr>
          <w:rFonts w:ascii="Arial" w:eastAsia="Arial" w:hAnsi="Arial" w:cs="Arial"/>
          <w:sz w:val="20"/>
          <w:szCs w:val="20"/>
          <w:highlight w:val="white"/>
        </w:rPr>
        <w:t>, vol. vol. 34 / 136, no. 1, 2011, pp. 157-173.</w:t>
      </w:r>
    </w:p>
    <w:p w14:paraId="000000D7"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rPr>
        <w:t xml:space="preserve">BLANCHET, P. </w:t>
      </w:r>
      <w:proofErr w:type="spellStart"/>
      <w:r w:rsidRPr="00BE2185">
        <w:rPr>
          <w:rFonts w:ascii="Arial" w:eastAsia="Arial" w:hAnsi="Arial" w:cs="Arial"/>
          <w:sz w:val="20"/>
          <w:szCs w:val="20"/>
          <w:highlight w:val="white"/>
        </w:rPr>
        <w:t>Minorations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minorisations</w:t>
      </w:r>
      <w:proofErr w:type="spellEnd"/>
      <w:r w:rsidRPr="00BE2185">
        <w:rPr>
          <w:rFonts w:ascii="Arial" w:eastAsia="Arial" w:hAnsi="Arial" w:cs="Arial"/>
          <w:sz w:val="20"/>
          <w:szCs w:val="20"/>
          <w:highlight w:val="white"/>
        </w:rPr>
        <w:t xml:space="preserve"> et </w:t>
      </w:r>
      <w:proofErr w:type="spellStart"/>
      <w:r w:rsidRPr="00BE2185">
        <w:rPr>
          <w:rFonts w:ascii="Arial" w:eastAsia="Arial" w:hAnsi="Arial" w:cs="Arial"/>
          <w:sz w:val="20"/>
          <w:szCs w:val="20"/>
          <w:highlight w:val="white"/>
        </w:rPr>
        <w:t>minorités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Essai</w:t>
      </w:r>
      <w:proofErr w:type="spellEnd"/>
      <w:r w:rsidRPr="00BE2185">
        <w:rPr>
          <w:rFonts w:ascii="Arial" w:eastAsia="Arial" w:hAnsi="Arial" w:cs="Arial"/>
          <w:sz w:val="20"/>
          <w:szCs w:val="20"/>
          <w:highlight w:val="white"/>
        </w:rPr>
        <w:t xml:space="preserve"> de </w:t>
      </w:r>
      <w:proofErr w:type="spellStart"/>
      <w:r w:rsidRPr="00BE2185">
        <w:rPr>
          <w:rFonts w:ascii="Arial" w:eastAsia="Arial" w:hAnsi="Arial" w:cs="Arial"/>
          <w:sz w:val="20"/>
          <w:szCs w:val="20"/>
          <w:highlight w:val="white"/>
        </w:rPr>
        <w:t>catégorisation</w:t>
      </w:r>
      <w:proofErr w:type="spellEnd"/>
      <w:r w:rsidRPr="00BE2185">
        <w:rPr>
          <w:rFonts w:ascii="Arial" w:eastAsia="Arial" w:hAnsi="Arial" w:cs="Arial"/>
          <w:sz w:val="20"/>
          <w:szCs w:val="20"/>
          <w:highlight w:val="white"/>
        </w:rPr>
        <w:t xml:space="preserve"> d’</w:t>
      </w:r>
      <w:proofErr w:type="spellStart"/>
      <w:r w:rsidRPr="00BE2185">
        <w:rPr>
          <w:rFonts w:ascii="Arial" w:eastAsia="Arial" w:hAnsi="Arial" w:cs="Arial"/>
          <w:sz w:val="20"/>
          <w:szCs w:val="20"/>
          <w:highlight w:val="white"/>
        </w:rPr>
        <w:t>un</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processus</w:t>
      </w:r>
      <w:proofErr w:type="spellEnd"/>
      <w:r w:rsidRPr="00BE2185">
        <w:rPr>
          <w:rFonts w:ascii="Arial" w:eastAsia="Arial" w:hAnsi="Arial" w:cs="Arial"/>
          <w:sz w:val="20"/>
          <w:szCs w:val="20"/>
          <w:highlight w:val="white"/>
        </w:rPr>
        <w:t xml:space="preserve"> complexe. </w:t>
      </w:r>
      <w:r w:rsidRPr="00BE2185">
        <w:rPr>
          <w:rFonts w:ascii="Arial" w:eastAsia="Arial" w:hAnsi="Arial" w:cs="Arial"/>
          <w:b/>
          <w:sz w:val="20"/>
          <w:szCs w:val="20"/>
          <w:highlight w:val="white"/>
        </w:rPr>
        <w:t xml:space="preserve">Cahiers de </w:t>
      </w:r>
      <w:proofErr w:type="spellStart"/>
      <w:r w:rsidRPr="00BE2185">
        <w:rPr>
          <w:rFonts w:ascii="Arial" w:eastAsia="Arial" w:hAnsi="Arial" w:cs="Arial"/>
          <w:b/>
          <w:sz w:val="20"/>
          <w:szCs w:val="20"/>
          <w:highlight w:val="white"/>
        </w:rPr>
        <w:t>sociolinguistique</w:t>
      </w:r>
      <w:proofErr w:type="spellEnd"/>
      <w:r w:rsidRPr="00BE2185">
        <w:rPr>
          <w:rFonts w:ascii="Arial" w:eastAsia="Arial" w:hAnsi="Arial" w:cs="Arial"/>
          <w:sz w:val="20"/>
          <w:szCs w:val="20"/>
          <w:highlight w:val="white"/>
        </w:rPr>
        <w:t>, (10), 2005, 17-47.</w:t>
      </w:r>
    </w:p>
    <w:p w14:paraId="000000D8"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rPr>
        <w:t xml:space="preserve">BOUCHARD, L &amp; DESMEULES, M. </w:t>
      </w:r>
      <w:proofErr w:type="spellStart"/>
      <w:r w:rsidRPr="00BE2185">
        <w:rPr>
          <w:rFonts w:ascii="Arial" w:eastAsia="Arial" w:hAnsi="Arial" w:cs="Arial"/>
          <w:b/>
          <w:sz w:val="20"/>
          <w:szCs w:val="20"/>
          <w:highlight w:val="white"/>
        </w:rPr>
        <w:t>Minorités</w:t>
      </w:r>
      <w:proofErr w:type="spellEnd"/>
      <w:r w:rsidRPr="00BE2185">
        <w:rPr>
          <w:rFonts w:ascii="Arial" w:eastAsia="Arial" w:hAnsi="Arial" w:cs="Arial"/>
          <w:b/>
          <w:sz w:val="20"/>
          <w:szCs w:val="20"/>
          <w:highlight w:val="white"/>
        </w:rPr>
        <w:t xml:space="preserve"> de langue </w:t>
      </w:r>
      <w:proofErr w:type="spellStart"/>
      <w:r w:rsidRPr="00BE2185">
        <w:rPr>
          <w:rFonts w:ascii="Arial" w:eastAsia="Arial" w:hAnsi="Arial" w:cs="Arial"/>
          <w:b/>
          <w:sz w:val="20"/>
          <w:szCs w:val="20"/>
          <w:highlight w:val="white"/>
        </w:rPr>
        <w:t>officielle</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du</w:t>
      </w:r>
      <w:proofErr w:type="spellEnd"/>
      <w:r w:rsidRPr="00BE2185">
        <w:rPr>
          <w:rFonts w:ascii="Arial" w:eastAsia="Arial" w:hAnsi="Arial" w:cs="Arial"/>
          <w:b/>
          <w:sz w:val="20"/>
          <w:szCs w:val="20"/>
          <w:highlight w:val="white"/>
        </w:rPr>
        <w:t xml:space="preserve"> Canada</w:t>
      </w:r>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égales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devant</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la</w:t>
      </w:r>
      <w:proofErr w:type="spellEnd"/>
      <w:r w:rsidRPr="00BE2185">
        <w:rPr>
          <w:rFonts w:ascii="Arial" w:eastAsia="Arial" w:hAnsi="Arial" w:cs="Arial"/>
          <w:sz w:val="20"/>
          <w:szCs w:val="20"/>
          <w:highlight w:val="white"/>
        </w:rPr>
        <w:t xml:space="preserve"> </w:t>
      </w:r>
      <w:proofErr w:type="spellStart"/>
      <w:proofErr w:type="gramStart"/>
      <w:r w:rsidRPr="00BE2185">
        <w:rPr>
          <w:rFonts w:ascii="Arial" w:eastAsia="Arial" w:hAnsi="Arial" w:cs="Arial"/>
          <w:sz w:val="20"/>
          <w:szCs w:val="20"/>
          <w:highlight w:val="white"/>
        </w:rPr>
        <w:t>santé</w:t>
      </w:r>
      <w:proofErr w:type="spellEnd"/>
      <w:r w:rsidRPr="00BE2185">
        <w:rPr>
          <w:rFonts w:ascii="Arial" w:eastAsia="Arial" w:hAnsi="Arial" w:cs="Arial"/>
          <w:sz w:val="20"/>
          <w:szCs w:val="20"/>
          <w:highlight w:val="white"/>
        </w:rPr>
        <w:t xml:space="preserve"> ?</w:t>
      </w:r>
      <w:proofErr w:type="gramEnd"/>
      <w:r w:rsidRPr="00BE2185">
        <w:rPr>
          <w:rFonts w:ascii="Arial" w:eastAsia="Arial" w:hAnsi="Arial" w:cs="Arial"/>
          <w:sz w:val="20"/>
          <w:szCs w:val="20"/>
          <w:highlight w:val="white"/>
        </w:rPr>
        <w:t xml:space="preserve"> Québec: </w:t>
      </w:r>
      <w:proofErr w:type="spellStart"/>
      <w:r w:rsidRPr="00BE2185">
        <w:rPr>
          <w:rFonts w:ascii="Arial" w:eastAsia="Arial" w:hAnsi="Arial" w:cs="Arial"/>
          <w:sz w:val="20"/>
          <w:szCs w:val="20"/>
          <w:highlight w:val="white"/>
        </w:rPr>
        <w:t>Presses</w:t>
      </w:r>
      <w:proofErr w:type="spellEnd"/>
      <w:r w:rsidRPr="00BE2185">
        <w:rPr>
          <w:rFonts w:ascii="Arial" w:eastAsia="Arial" w:hAnsi="Arial" w:cs="Arial"/>
          <w:sz w:val="20"/>
          <w:szCs w:val="20"/>
          <w:highlight w:val="white"/>
        </w:rPr>
        <w:t xml:space="preserve"> de </w:t>
      </w:r>
      <w:proofErr w:type="spellStart"/>
      <w:r w:rsidRPr="00BE2185">
        <w:rPr>
          <w:rFonts w:ascii="Arial" w:eastAsia="Arial" w:hAnsi="Arial" w:cs="Arial"/>
          <w:sz w:val="20"/>
          <w:szCs w:val="20"/>
          <w:highlight w:val="white"/>
        </w:rPr>
        <w:t>l’Université</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du</w:t>
      </w:r>
      <w:proofErr w:type="spellEnd"/>
      <w:r w:rsidRPr="00BE2185">
        <w:rPr>
          <w:rFonts w:ascii="Arial" w:eastAsia="Arial" w:hAnsi="Arial" w:cs="Arial"/>
          <w:sz w:val="20"/>
          <w:szCs w:val="20"/>
          <w:highlight w:val="white"/>
        </w:rPr>
        <w:t xml:space="preserve"> Québec, 2011.</w:t>
      </w:r>
    </w:p>
    <w:p w14:paraId="000000D9"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rPr>
        <w:t xml:space="preserve">BOUCHARD, L.; BATAL, M.; IMBEAULT, P.; SEDIGH, G.; SILVA, E. E.; SUCHA, E. </w:t>
      </w:r>
      <w:proofErr w:type="spellStart"/>
      <w:r w:rsidRPr="00BE2185">
        <w:rPr>
          <w:rFonts w:ascii="Arial" w:eastAsia="Arial" w:hAnsi="Arial" w:cs="Arial"/>
          <w:sz w:val="20"/>
          <w:szCs w:val="20"/>
          <w:highlight w:val="white"/>
        </w:rPr>
        <w:t>Précarité</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des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populations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francophones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âgées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en</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situation</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minoritaire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linguistique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b/>
          <w:sz w:val="20"/>
          <w:szCs w:val="20"/>
          <w:highlight w:val="white"/>
        </w:rPr>
        <w:t>Minorités</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linguistiques</w:t>
      </w:r>
      <w:proofErr w:type="spellEnd"/>
      <w:r w:rsidRPr="00BE2185">
        <w:rPr>
          <w:rFonts w:ascii="Arial" w:eastAsia="Arial" w:hAnsi="Arial" w:cs="Arial"/>
          <w:b/>
          <w:sz w:val="20"/>
          <w:szCs w:val="20"/>
          <w:highlight w:val="white"/>
        </w:rPr>
        <w:t xml:space="preserve"> et </w:t>
      </w:r>
      <w:proofErr w:type="spellStart"/>
      <w:r w:rsidRPr="00BE2185">
        <w:rPr>
          <w:rFonts w:ascii="Arial" w:eastAsia="Arial" w:hAnsi="Arial" w:cs="Arial"/>
          <w:b/>
          <w:sz w:val="20"/>
          <w:szCs w:val="20"/>
          <w:highlight w:val="white"/>
        </w:rPr>
        <w:t>société</w:t>
      </w:r>
      <w:proofErr w:type="spellEnd"/>
      <w:r w:rsidRPr="00BE2185">
        <w:rPr>
          <w:rFonts w:ascii="Arial" w:eastAsia="Arial" w:hAnsi="Arial" w:cs="Arial"/>
          <w:sz w:val="20"/>
          <w:szCs w:val="20"/>
          <w:highlight w:val="white"/>
        </w:rPr>
        <w:t>, (6), 66-81, 2015.</w:t>
      </w:r>
    </w:p>
    <w:p w14:paraId="000000DA"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rPr>
        <w:t xml:space="preserve">BOUCHARD, L.; DESMEULES, M. La </w:t>
      </w:r>
      <w:proofErr w:type="spellStart"/>
      <w:r w:rsidRPr="00BE2185">
        <w:rPr>
          <w:rFonts w:ascii="Arial" w:eastAsia="Arial" w:hAnsi="Arial" w:cs="Arial"/>
          <w:sz w:val="20"/>
          <w:szCs w:val="20"/>
          <w:highlight w:val="white"/>
        </w:rPr>
        <w:t>santé</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des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personnes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âgées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francophones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vivant</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en</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situation</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minoritaire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au</w:t>
      </w:r>
      <w:proofErr w:type="spellEnd"/>
      <w:r w:rsidRPr="00BE2185">
        <w:rPr>
          <w:rFonts w:ascii="Arial" w:eastAsia="Arial" w:hAnsi="Arial" w:cs="Arial"/>
          <w:sz w:val="20"/>
          <w:szCs w:val="20"/>
          <w:highlight w:val="white"/>
        </w:rPr>
        <w:t xml:space="preserve"> </w:t>
      </w:r>
      <w:proofErr w:type="gramStart"/>
      <w:r w:rsidRPr="00BE2185">
        <w:rPr>
          <w:rFonts w:ascii="Arial" w:eastAsia="Arial" w:hAnsi="Arial" w:cs="Arial"/>
          <w:sz w:val="20"/>
          <w:szCs w:val="20"/>
          <w:highlight w:val="white"/>
        </w:rPr>
        <w:t>Canada :</w:t>
      </w:r>
      <w:proofErr w:type="gram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enjeux</w:t>
      </w:r>
      <w:proofErr w:type="spellEnd"/>
      <w:r w:rsidRPr="00BE2185">
        <w:rPr>
          <w:rFonts w:ascii="Arial" w:eastAsia="Arial" w:hAnsi="Arial" w:cs="Arial"/>
          <w:sz w:val="20"/>
          <w:szCs w:val="20"/>
          <w:highlight w:val="white"/>
        </w:rPr>
        <w:t xml:space="preserve"> et </w:t>
      </w:r>
      <w:proofErr w:type="spellStart"/>
      <w:r w:rsidRPr="00BE2185">
        <w:rPr>
          <w:rFonts w:ascii="Arial" w:eastAsia="Arial" w:hAnsi="Arial" w:cs="Arial"/>
          <w:sz w:val="20"/>
          <w:szCs w:val="20"/>
          <w:highlight w:val="white"/>
        </w:rPr>
        <w:t>besoins</w:t>
      </w:r>
      <w:proofErr w:type="spellEnd"/>
      <w:r w:rsidRPr="00BE2185">
        <w:rPr>
          <w:rFonts w:ascii="Arial" w:eastAsia="Arial" w:hAnsi="Arial" w:cs="Arial"/>
          <w:sz w:val="20"/>
          <w:szCs w:val="20"/>
          <w:highlight w:val="white"/>
        </w:rPr>
        <w:t xml:space="preserve">. IN DROLET, et al. (dir.), </w:t>
      </w:r>
      <w:proofErr w:type="spellStart"/>
      <w:r w:rsidRPr="00BE2185">
        <w:rPr>
          <w:rFonts w:ascii="Arial" w:eastAsia="Arial" w:hAnsi="Arial" w:cs="Arial"/>
          <w:b/>
          <w:sz w:val="20"/>
          <w:szCs w:val="20"/>
          <w:highlight w:val="white"/>
        </w:rPr>
        <w:t>Accessibilité</w:t>
      </w:r>
      <w:proofErr w:type="spellEnd"/>
      <w:r w:rsidRPr="00BE2185">
        <w:rPr>
          <w:rFonts w:ascii="Arial" w:eastAsia="Arial" w:hAnsi="Arial" w:cs="Arial"/>
          <w:b/>
          <w:sz w:val="20"/>
          <w:szCs w:val="20"/>
          <w:highlight w:val="white"/>
        </w:rPr>
        <w:t xml:space="preserve"> et </w:t>
      </w:r>
      <w:proofErr w:type="spellStart"/>
      <w:r w:rsidRPr="00BE2185">
        <w:rPr>
          <w:rFonts w:ascii="Arial" w:eastAsia="Arial" w:hAnsi="Arial" w:cs="Arial"/>
          <w:b/>
          <w:sz w:val="20"/>
          <w:szCs w:val="20"/>
          <w:highlight w:val="white"/>
        </w:rPr>
        <w:t>offre</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active</w:t>
      </w:r>
      <w:proofErr w:type="spellEnd"/>
      <w:r w:rsidRPr="00BE2185">
        <w:rPr>
          <w:rFonts w:ascii="Arial" w:eastAsia="Arial" w:hAnsi="Arial" w:cs="Arial"/>
          <w:b/>
          <w:sz w:val="20"/>
          <w:szCs w:val="20"/>
          <w:highlight w:val="white"/>
        </w:rPr>
        <w:t xml:space="preserve"> </w:t>
      </w:r>
      <w:r w:rsidRPr="00BE2185">
        <w:rPr>
          <w:rFonts w:ascii="Arial" w:eastAsia="Arial" w:hAnsi="Arial" w:cs="Arial"/>
          <w:sz w:val="20"/>
          <w:szCs w:val="20"/>
          <w:highlight w:val="white"/>
        </w:rPr>
        <w:t xml:space="preserve">- Santé </w:t>
      </w:r>
      <w:r w:rsidRPr="00BE2185">
        <w:rPr>
          <w:rFonts w:ascii="Arial" w:eastAsia="Arial" w:hAnsi="Arial" w:cs="Arial"/>
          <w:sz w:val="20"/>
          <w:szCs w:val="20"/>
          <w:highlight w:val="white"/>
        </w:rPr>
        <w:lastRenderedPageBreak/>
        <w:t xml:space="preserve">et </w:t>
      </w:r>
      <w:proofErr w:type="spellStart"/>
      <w:r w:rsidRPr="00BE2185">
        <w:rPr>
          <w:rFonts w:ascii="Arial" w:eastAsia="Arial" w:hAnsi="Arial" w:cs="Arial"/>
          <w:sz w:val="20"/>
          <w:szCs w:val="20"/>
          <w:highlight w:val="white"/>
        </w:rPr>
        <w:t>services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sociaux</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en</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contexte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linguistique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minoritaire</w:t>
      </w:r>
      <w:proofErr w:type="spellEnd"/>
      <w:r w:rsidRPr="00BE2185">
        <w:rPr>
          <w:rFonts w:ascii="Arial" w:eastAsia="Arial" w:hAnsi="Arial" w:cs="Arial"/>
          <w:sz w:val="20"/>
          <w:szCs w:val="20"/>
          <w:highlight w:val="white"/>
        </w:rPr>
        <w:t xml:space="preserve"> (p. 123-141). Ottawa, </w:t>
      </w:r>
      <w:proofErr w:type="gramStart"/>
      <w:r w:rsidRPr="00BE2185">
        <w:rPr>
          <w:rFonts w:ascii="Arial" w:eastAsia="Arial" w:hAnsi="Arial" w:cs="Arial"/>
          <w:sz w:val="20"/>
          <w:szCs w:val="20"/>
          <w:highlight w:val="white"/>
        </w:rPr>
        <w:t>OC :</w:t>
      </w:r>
      <w:proofErr w:type="gram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Presses</w:t>
      </w:r>
      <w:proofErr w:type="spellEnd"/>
      <w:r w:rsidRPr="00BE2185">
        <w:rPr>
          <w:rFonts w:ascii="Arial" w:eastAsia="Arial" w:hAnsi="Arial" w:cs="Arial"/>
          <w:sz w:val="20"/>
          <w:szCs w:val="20"/>
          <w:highlight w:val="white"/>
        </w:rPr>
        <w:t xml:space="preserve"> de </w:t>
      </w:r>
      <w:proofErr w:type="spellStart"/>
      <w:r w:rsidRPr="00BE2185">
        <w:rPr>
          <w:rFonts w:ascii="Arial" w:eastAsia="Arial" w:hAnsi="Arial" w:cs="Arial"/>
          <w:sz w:val="20"/>
          <w:szCs w:val="20"/>
          <w:highlight w:val="white"/>
        </w:rPr>
        <w:t>l’Université</w:t>
      </w:r>
      <w:proofErr w:type="spellEnd"/>
      <w:r w:rsidRPr="00BE2185">
        <w:rPr>
          <w:rFonts w:ascii="Arial" w:eastAsia="Arial" w:hAnsi="Arial" w:cs="Arial"/>
          <w:sz w:val="20"/>
          <w:szCs w:val="20"/>
          <w:highlight w:val="white"/>
        </w:rPr>
        <w:t xml:space="preserve"> d’Ottawa, 2017.</w:t>
      </w:r>
    </w:p>
    <w:p w14:paraId="000000DB"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lang w:val="en-GB"/>
        </w:rPr>
        <w:t xml:space="preserve">BOUCHARD, L.; GABOURY, I.; CHOMIENNE, M.H.; GILBERT, A.; DUBOIS, L. La santé en situation linguistique minoritaire. </w:t>
      </w:r>
      <w:r w:rsidRPr="00BE2185">
        <w:rPr>
          <w:rFonts w:ascii="Arial" w:eastAsia="Arial" w:hAnsi="Arial" w:cs="Arial"/>
          <w:b/>
          <w:sz w:val="20"/>
          <w:szCs w:val="20"/>
          <w:highlight w:val="white"/>
        </w:rPr>
        <w:t>Politiques de Santé</w:t>
      </w:r>
      <w:r w:rsidRPr="00BE2185">
        <w:rPr>
          <w:rFonts w:ascii="Arial" w:eastAsia="Arial" w:hAnsi="Arial" w:cs="Arial"/>
          <w:sz w:val="20"/>
          <w:szCs w:val="20"/>
          <w:highlight w:val="white"/>
        </w:rPr>
        <w:t xml:space="preserve">, 2009;4(4):36-42 </w:t>
      </w:r>
    </w:p>
    <w:p w14:paraId="000000DC"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rPr>
        <w:t xml:space="preserve">BUSS, P.M.; PELLEGRINI FILHO, A. A Saúde e seus determinantes sociais. </w:t>
      </w:r>
      <w:proofErr w:type="spellStart"/>
      <w:r w:rsidRPr="00BE2185">
        <w:rPr>
          <w:rFonts w:ascii="Arial" w:eastAsia="Arial" w:hAnsi="Arial" w:cs="Arial"/>
          <w:b/>
          <w:sz w:val="20"/>
          <w:szCs w:val="20"/>
          <w:highlight w:val="white"/>
        </w:rPr>
        <w:t>Physis</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Rev</w:t>
      </w:r>
      <w:proofErr w:type="spellEnd"/>
      <w:r w:rsidRPr="00BE2185">
        <w:rPr>
          <w:rFonts w:ascii="Arial" w:eastAsia="Arial" w:hAnsi="Arial" w:cs="Arial"/>
          <w:b/>
          <w:sz w:val="20"/>
          <w:szCs w:val="20"/>
          <w:highlight w:val="white"/>
        </w:rPr>
        <w:t xml:space="preserve"> Saúde Coletiva</w:t>
      </w:r>
      <w:r w:rsidRPr="00BE2185">
        <w:rPr>
          <w:rFonts w:ascii="Arial" w:eastAsia="Arial" w:hAnsi="Arial" w:cs="Arial"/>
          <w:sz w:val="20"/>
          <w:szCs w:val="20"/>
          <w:highlight w:val="white"/>
        </w:rPr>
        <w:t>, Rio de Janeiro. 17(1):77-93. 2007.</w:t>
      </w:r>
    </w:p>
    <w:p w14:paraId="000000DD"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lang w:val="en-GB"/>
        </w:rPr>
      </w:pPr>
      <w:r w:rsidRPr="00BE2185">
        <w:rPr>
          <w:rFonts w:ascii="Arial" w:eastAsia="Arial" w:hAnsi="Arial" w:cs="Arial"/>
          <w:sz w:val="20"/>
          <w:szCs w:val="20"/>
          <w:highlight w:val="white"/>
        </w:rPr>
        <w:t xml:space="preserve">GUCHER, C. Le </w:t>
      </w:r>
      <w:proofErr w:type="spellStart"/>
      <w:r w:rsidRPr="00BE2185">
        <w:rPr>
          <w:rFonts w:ascii="Arial" w:eastAsia="Arial" w:hAnsi="Arial" w:cs="Arial"/>
          <w:sz w:val="20"/>
          <w:szCs w:val="20"/>
          <w:highlight w:val="white"/>
        </w:rPr>
        <w:t>vieillissement</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des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populations</w:t>
      </w:r>
      <w:proofErr w:type="spellEnd"/>
      <w:r w:rsidRPr="00BE2185">
        <w:rPr>
          <w:rFonts w:ascii="Arial" w:eastAsia="Arial" w:hAnsi="Arial" w:cs="Arial"/>
          <w:sz w:val="20"/>
          <w:szCs w:val="20"/>
          <w:highlight w:val="white"/>
        </w:rPr>
        <w:t xml:space="preserve"> et </w:t>
      </w:r>
      <w:proofErr w:type="spellStart"/>
      <w:r w:rsidRPr="00BE2185">
        <w:rPr>
          <w:rFonts w:ascii="Arial" w:eastAsia="Arial" w:hAnsi="Arial" w:cs="Arial"/>
          <w:sz w:val="20"/>
          <w:szCs w:val="20"/>
          <w:highlight w:val="white"/>
        </w:rPr>
        <w:t>des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territoires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au</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prisme</w:t>
      </w:r>
      <w:proofErr w:type="spellEnd"/>
      <w:r w:rsidRPr="00BE2185">
        <w:rPr>
          <w:rFonts w:ascii="Arial" w:eastAsia="Arial" w:hAnsi="Arial" w:cs="Arial"/>
          <w:sz w:val="20"/>
          <w:szCs w:val="20"/>
          <w:highlight w:val="white"/>
        </w:rPr>
        <w:t xml:space="preserve"> d'une </w:t>
      </w:r>
      <w:proofErr w:type="spellStart"/>
      <w:r w:rsidRPr="00BE2185">
        <w:rPr>
          <w:rFonts w:ascii="Arial" w:eastAsia="Arial" w:hAnsi="Arial" w:cs="Arial"/>
          <w:sz w:val="20"/>
          <w:szCs w:val="20"/>
          <w:highlight w:val="white"/>
        </w:rPr>
        <w:t>ruralité</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transformée</w:t>
      </w:r>
      <w:proofErr w:type="spellEnd"/>
      <w:r w:rsidRPr="00BE2185">
        <w:rPr>
          <w:rFonts w:ascii="Arial" w:eastAsia="Arial" w:hAnsi="Arial" w:cs="Arial"/>
          <w:sz w:val="20"/>
          <w:szCs w:val="20"/>
          <w:highlight w:val="white"/>
        </w:rPr>
        <w:t xml:space="preserve">. </w:t>
      </w:r>
      <w:r w:rsidRPr="00BE2185">
        <w:rPr>
          <w:rFonts w:ascii="Arial" w:eastAsia="Arial" w:hAnsi="Arial" w:cs="Arial"/>
          <w:b/>
          <w:sz w:val="20"/>
          <w:szCs w:val="20"/>
          <w:highlight w:val="white"/>
          <w:lang w:val="en-GB"/>
        </w:rPr>
        <w:t>Gérontologie et société</w:t>
      </w:r>
      <w:r w:rsidRPr="00BE2185">
        <w:rPr>
          <w:rFonts w:ascii="Arial" w:eastAsia="Arial" w:hAnsi="Arial" w:cs="Arial"/>
          <w:sz w:val="20"/>
          <w:szCs w:val="20"/>
          <w:highlight w:val="white"/>
          <w:lang w:val="en-GB"/>
        </w:rPr>
        <w:t>, vol. 36 / 146, no. 3, 2013, pp. 11-20.</w:t>
      </w:r>
    </w:p>
    <w:p w14:paraId="000000DE"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lang w:val="en-GB"/>
        </w:rPr>
      </w:pPr>
      <w:r w:rsidRPr="00BE2185">
        <w:rPr>
          <w:rFonts w:ascii="Arial" w:eastAsia="Arial" w:hAnsi="Arial" w:cs="Arial"/>
          <w:sz w:val="20"/>
          <w:szCs w:val="20"/>
          <w:highlight w:val="white"/>
          <w:lang w:val="en-GB"/>
        </w:rPr>
        <w:t>KAWACHI, I., ADLER, N. E., DOW, W. H. Money, schooling, and health: Mechanisms and causal evidence. A</w:t>
      </w:r>
      <w:r w:rsidRPr="00BE2185">
        <w:rPr>
          <w:rFonts w:ascii="Arial" w:eastAsia="Arial" w:hAnsi="Arial" w:cs="Arial"/>
          <w:b/>
          <w:sz w:val="20"/>
          <w:szCs w:val="20"/>
          <w:highlight w:val="white"/>
          <w:lang w:val="en-GB"/>
        </w:rPr>
        <w:t>nnals of the New York Academy of Sciences</w:t>
      </w:r>
      <w:r w:rsidRPr="00BE2185">
        <w:rPr>
          <w:rFonts w:ascii="Arial" w:eastAsia="Arial" w:hAnsi="Arial" w:cs="Arial"/>
          <w:sz w:val="20"/>
          <w:szCs w:val="20"/>
          <w:highlight w:val="white"/>
          <w:lang w:val="en-GB"/>
        </w:rPr>
        <w:t>, 1186, 56-68, 2010.</w:t>
      </w:r>
    </w:p>
    <w:p w14:paraId="000000DF"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lang w:val="en-GB"/>
        </w:rPr>
        <w:t xml:space="preserve">LANDRY, R.(dir.) </w:t>
      </w:r>
      <w:r w:rsidRPr="00BE2185">
        <w:rPr>
          <w:rFonts w:ascii="Arial" w:eastAsia="Arial" w:hAnsi="Arial" w:cs="Arial"/>
          <w:b/>
          <w:sz w:val="20"/>
          <w:szCs w:val="20"/>
          <w:highlight w:val="white"/>
          <w:lang w:val="en-GB"/>
        </w:rPr>
        <w:t>La vie dans une langue officielle minoritaire au Canada</w:t>
      </w:r>
      <w:r w:rsidRPr="00BE2185">
        <w:rPr>
          <w:rFonts w:ascii="Arial" w:eastAsia="Arial" w:hAnsi="Arial" w:cs="Arial"/>
          <w:sz w:val="20"/>
          <w:szCs w:val="20"/>
          <w:highlight w:val="white"/>
          <w:lang w:val="en-GB"/>
        </w:rPr>
        <w:t xml:space="preserve">. </w:t>
      </w:r>
      <w:r w:rsidRPr="00BE2185">
        <w:rPr>
          <w:rFonts w:ascii="Arial" w:eastAsia="Arial" w:hAnsi="Arial" w:cs="Arial"/>
          <w:sz w:val="20"/>
          <w:szCs w:val="20"/>
          <w:highlight w:val="white"/>
        </w:rPr>
        <w:t xml:space="preserve">Québec, </w:t>
      </w:r>
      <w:proofErr w:type="gramStart"/>
      <w:r w:rsidRPr="00BE2185">
        <w:rPr>
          <w:rFonts w:ascii="Arial" w:eastAsia="Arial" w:hAnsi="Arial" w:cs="Arial"/>
          <w:sz w:val="20"/>
          <w:szCs w:val="20"/>
          <w:highlight w:val="white"/>
        </w:rPr>
        <w:t>QC :</w:t>
      </w:r>
      <w:proofErr w:type="gram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Presses</w:t>
      </w:r>
      <w:proofErr w:type="spellEnd"/>
      <w:r w:rsidRPr="00BE2185">
        <w:rPr>
          <w:rFonts w:ascii="Arial" w:eastAsia="Arial" w:hAnsi="Arial" w:cs="Arial"/>
          <w:sz w:val="20"/>
          <w:szCs w:val="20"/>
          <w:highlight w:val="white"/>
        </w:rPr>
        <w:t xml:space="preserve"> de </w:t>
      </w:r>
      <w:proofErr w:type="spellStart"/>
      <w:r w:rsidRPr="00BE2185">
        <w:rPr>
          <w:rFonts w:ascii="Arial" w:eastAsia="Arial" w:hAnsi="Arial" w:cs="Arial"/>
          <w:sz w:val="20"/>
          <w:szCs w:val="20"/>
          <w:highlight w:val="white"/>
        </w:rPr>
        <w:t>l’Université</w:t>
      </w:r>
      <w:proofErr w:type="spellEnd"/>
      <w:r w:rsidRPr="00BE2185">
        <w:rPr>
          <w:rFonts w:ascii="Arial" w:eastAsia="Arial" w:hAnsi="Arial" w:cs="Arial"/>
          <w:sz w:val="20"/>
          <w:szCs w:val="20"/>
          <w:highlight w:val="white"/>
        </w:rPr>
        <w:t xml:space="preserve"> Laval, 2018.</w:t>
      </w:r>
    </w:p>
    <w:p w14:paraId="000000E0"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rPr>
        <w:t xml:space="preserve">LAURELL, A. C. La </w:t>
      </w:r>
      <w:proofErr w:type="spellStart"/>
      <w:r w:rsidRPr="00BE2185">
        <w:rPr>
          <w:rFonts w:ascii="Arial" w:eastAsia="Arial" w:hAnsi="Arial" w:cs="Arial"/>
          <w:sz w:val="20"/>
          <w:szCs w:val="20"/>
          <w:highlight w:val="white"/>
        </w:rPr>
        <w:t>salud-enfermedad</w:t>
      </w:r>
      <w:proofErr w:type="spellEnd"/>
      <w:r w:rsidRPr="00BE2185">
        <w:rPr>
          <w:rFonts w:ascii="Arial" w:eastAsia="Arial" w:hAnsi="Arial" w:cs="Arial"/>
          <w:sz w:val="20"/>
          <w:szCs w:val="20"/>
          <w:highlight w:val="white"/>
        </w:rPr>
        <w:t xml:space="preserve"> como </w:t>
      </w:r>
      <w:proofErr w:type="spellStart"/>
      <w:r w:rsidRPr="00BE2185">
        <w:rPr>
          <w:rFonts w:ascii="Arial" w:eastAsia="Arial" w:hAnsi="Arial" w:cs="Arial"/>
          <w:sz w:val="20"/>
          <w:szCs w:val="20"/>
          <w:highlight w:val="white"/>
        </w:rPr>
        <w:t>proceso</w:t>
      </w:r>
      <w:proofErr w:type="spellEnd"/>
      <w:r w:rsidRPr="00BE2185">
        <w:rPr>
          <w:rFonts w:ascii="Arial" w:eastAsia="Arial" w:hAnsi="Arial" w:cs="Arial"/>
          <w:sz w:val="20"/>
          <w:szCs w:val="20"/>
          <w:highlight w:val="white"/>
        </w:rPr>
        <w:t xml:space="preserve"> social. </w:t>
      </w:r>
      <w:proofErr w:type="spellStart"/>
      <w:r w:rsidRPr="00BE2185">
        <w:rPr>
          <w:rFonts w:ascii="Arial" w:eastAsia="Arial" w:hAnsi="Arial" w:cs="Arial"/>
          <w:b/>
          <w:sz w:val="20"/>
          <w:szCs w:val="20"/>
          <w:highlight w:val="white"/>
        </w:rPr>
        <w:t>Cuadernos</w:t>
      </w:r>
      <w:proofErr w:type="spellEnd"/>
      <w:r w:rsidRPr="00BE2185">
        <w:rPr>
          <w:rFonts w:ascii="Arial" w:eastAsia="Arial" w:hAnsi="Arial" w:cs="Arial"/>
          <w:b/>
          <w:sz w:val="20"/>
          <w:szCs w:val="20"/>
          <w:highlight w:val="white"/>
        </w:rPr>
        <w:t xml:space="preserve"> Médico </w:t>
      </w:r>
      <w:proofErr w:type="spellStart"/>
      <w:r w:rsidRPr="00BE2185">
        <w:rPr>
          <w:rFonts w:ascii="Arial" w:eastAsia="Arial" w:hAnsi="Arial" w:cs="Arial"/>
          <w:b/>
          <w:sz w:val="20"/>
          <w:szCs w:val="20"/>
          <w:highlight w:val="white"/>
        </w:rPr>
        <w:t>Sociales</w:t>
      </w:r>
      <w:proofErr w:type="spellEnd"/>
      <w:r w:rsidRPr="00BE2185">
        <w:rPr>
          <w:rFonts w:ascii="Arial" w:eastAsia="Arial" w:hAnsi="Arial" w:cs="Arial"/>
          <w:sz w:val="20"/>
          <w:szCs w:val="20"/>
          <w:highlight w:val="white"/>
        </w:rPr>
        <w:t>, Cidade do México, n. 19, v. 2, p. 1-11, 1982.</w:t>
      </w:r>
    </w:p>
    <w:p w14:paraId="000000E1"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lang w:val="en-GB"/>
        </w:rPr>
        <w:t xml:space="preserve">RAYMOND, É.; GAGNÉ, D.; SÉVIGNY, A.; TOURIGNY, A. </w:t>
      </w:r>
      <w:r w:rsidRPr="00BE2185">
        <w:rPr>
          <w:rFonts w:ascii="Arial" w:eastAsia="Arial" w:hAnsi="Arial" w:cs="Arial"/>
          <w:b/>
          <w:sz w:val="20"/>
          <w:szCs w:val="20"/>
          <w:highlight w:val="white"/>
          <w:lang w:val="en-GB"/>
        </w:rPr>
        <w:t xml:space="preserve">La participation sociale des aînés dans une perspective de vieillissement en </w:t>
      </w:r>
      <w:proofErr w:type="gramStart"/>
      <w:r w:rsidRPr="00BE2185">
        <w:rPr>
          <w:rFonts w:ascii="Arial" w:eastAsia="Arial" w:hAnsi="Arial" w:cs="Arial"/>
          <w:b/>
          <w:sz w:val="20"/>
          <w:szCs w:val="20"/>
          <w:highlight w:val="white"/>
          <w:lang w:val="en-GB"/>
        </w:rPr>
        <w:t xml:space="preserve">santé </w:t>
      </w:r>
      <w:r w:rsidRPr="00BE2185">
        <w:rPr>
          <w:rFonts w:ascii="Arial" w:eastAsia="Arial" w:hAnsi="Arial" w:cs="Arial"/>
          <w:sz w:val="20"/>
          <w:szCs w:val="20"/>
          <w:highlight w:val="white"/>
          <w:lang w:val="en-GB"/>
        </w:rPr>
        <w:t>:</w:t>
      </w:r>
      <w:proofErr w:type="gramEnd"/>
      <w:r w:rsidRPr="00BE2185">
        <w:rPr>
          <w:rFonts w:ascii="Arial" w:eastAsia="Arial" w:hAnsi="Arial" w:cs="Arial"/>
          <w:sz w:val="20"/>
          <w:szCs w:val="20"/>
          <w:highlight w:val="white"/>
          <w:lang w:val="en-GB"/>
        </w:rPr>
        <w:t xml:space="preserve"> réflexion critique appuyée sur une analyse documentaire. </w:t>
      </w:r>
      <w:r w:rsidRPr="00BE2185">
        <w:rPr>
          <w:rFonts w:ascii="Arial" w:eastAsia="Arial" w:hAnsi="Arial" w:cs="Arial"/>
          <w:sz w:val="20"/>
          <w:szCs w:val="20"/>
          <w:highlight w:val="white"/>
        </w:rPr>
        <w:t xml:space="preserve">Québec, </w:t>
      </w:r>
      <w:proofErr w:type="gramStart"/>
      <w:r w:rsidRPr="00BE2185">
        <w:rPr>
          <w:rFonts w:ascii="Arial" w:eastAsia="Arial" w:hAnsi="Arial" w:cs="Arial"/>
          <w:sz w:val="20"/>
          <w:szCs w:val="20"/>
          <w:highlight w:val="white"/>
        </w:rPr>
        <w:t>QC :</w:t>
      </w:r>
      <w:proofErr w:type="gramEnd"/>
      <w:r w:rsidRPr="00BE2185">
        <w:rPr>
          <w:rFonts w:ascii="Arial" w:eastAsia="Arial" w:hAnsi="Arial" w:cs="Arial"/>
          <w:sz w:val="20"/>
          <w:szCs w:val="20"/>
          <w:highlight w:val="white"/>
        </w:rPr>
        <w:t xml:space="preserve"> Direction de </w:t>
      </w:r>
      <w:proofErr w:type="spellStart"/>
      <w:r w:rsidRPr="00BE2185">
        <w:rPr>
          <w:rFonts w:ascii="Arial" w:eastAsia="Arial" w:hAnsi="Arial" w:cs="Arial"/>
          <w:sz w:val="20"/>
          <w:szCs w:val="20"/>
          <w:highlight w:val="white"/>
        </w:rPr>
        <w:t>santé</w:t>
      </w:r>
      <w:proofErr w:type="spellEnd"/>
      <w:r w:rsidRPr="00BE2185">
        <w:rPr>
          <w:rFonts w:ascii="Arial" w:eastAsia="Arial" w:hAnsi="Arial" w:cs="Arial"/>
          <w:sz w:val="20"/>
          <w:szCs w:val="20"/>
          <w:highlight w:val="white"/>
        </w:rPr>
        <w:t xml:space="preserve"> publique de </w:t>
      </w:r>
      <w:proofErr w:type="spellStart"/>
      <w:r w:rsidRPr="00BE2185">
        <w:rPr>
          <w:rFonts w:ascii="Arial" w:eastAsia="Arial" w:hAnsi="Arial" w:cs="Arial"/>
          <w:sz w:val="20"/>
          <w:szCs w:val="20"/>
          <w:highlight w:val="white"/>
        </w:rPr>
        <w:t>l’Agence</w:t>
      </w:r>
      <w:proofErr w:type="spellEnd"/>
      <w:r w:rsidRPr="00BE2185">
        <w:rPr>
          <w:rFonts w:ascii="Arial" w:eastAsia="Arial" w:hAnsi="Arial" w:cs="Arial"/>
          <w:sz w:val="20"/>
          <w:szCs w:val="20"/>
          <w:highlight w:val="white"/>
        </w:rPr>
        <w:t xml:space="preserve"> de </w:t>
      </w:r>
      <w:proofErr w:type="spellStart"/>
      <w:r w:rsidRPr="00BE2185">
        <w:rPr>
          <w:rFonts w:ascii="Arial" w:eastAsia="Arial" w:hAnsi="Arial" w:cs="Arial"/>
          <w:sz w:val="20"/>
          <w:szCs w:val="20"/>
          <w:highlight w:val="white"/>
        </w:rPr>
        <w:t>la</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santé</w:t>
      </w:r>
      <w:proofErr w:type="spellEnd"/>
      <w:r w:rsidRPr="00BE2185">
        <w:rPr>
          <w:rFonts w:ascii="Arial" w:eastAsia="Arial" w:hAnsi="Arial" w:cs="Arial"/>
          <w:sz w:val="20"/>
          <w:szCs w:val="20"/>
          <w:highlight w:val="white"/>
        </w:rPr>
        <w:t xml:space="preserve"> et </w:t>
      </w:r>
      <w:proofErr w:type="spellStart"/>
      <w:r w:rsidRPr="00BE2185">
        <w:rPr>
          <w:rFonts w:ascii="Arial" w:eastAsia="Arial" w:hAnsi="Arial" w:cs="Arial"/>
          <w:sz w:val="20"/>
          <w:szCs w:val="20"/>
          <w:highlight w:val="white"/>
        </w:rPr>
        <w:t>des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services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sociaux</w:t>
      </w:r>
      <w:proofErr w:type="spellEnd"/>
      <w:r w:rsidRPr="00BE2185">
        <w:rPr>
          <w:rFonts w:ascii="Arial" w:eastAsia="Arial" w:hAnsi="Arial" w:cs="Arial"/>
          <w:sz w:val="20"/>
          <w:szCs w:val="20"/>
          <w:highlight w:val="white"/>
        </w:rPr>
        <w:t xml:space="preserve"> de </w:t>
      </w:r>
      <w:proofErr w:type="spellStart"/>
      <w:r w:rsidRPr="00BE2185">
        <w:rPr>
          <w:rFonts w:ascii="Arial" w:eastAsia="Arial" w:hAnsi="Arial" w:cs="Arial"/>
          <w:sz w:val="20"/>
          <w:szCs w:val="20"/>
          <w:highlight w:val="white"/>
        </w:rPr>
        <w:t>la</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Capitale-Nationale</w:t>
      </w:r>
      <w:proofErr w:type="spellEnd"/>
      <w:r w:rsidRPr="00BE2185">
        <w:rPr>
          <w:rFonts w:ascii="Arial" w:eastAsia="Arial" w:hAnsi="Arial" w:cs="Arial"/>
          <w:sz w:val="20"/>
          <w:szCs w:val="20"/>
          <w:highlight w:val="white"/>
        </w:rPr>
        <w:t>, 2008.</w:t>
      </w:r>
    </w:p>
    <w:p w14:paraId="000000E2"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lang w:val="en-GB"/>
        </w:rPr>
      </w:pPr>
      <w:r w:rsidRPr="00BE2185">
        <w:rPr>
          <w:rFonts w:ascii="Arial" w:eastAsia="Arial" w:hAnsi="Arial" w:cs="Arial"/>
          <w:sz w:val="20"/>
          <w:szCs w:val="20"/>
          <w:highlight w:val="white"/>
        </w:rPr>
        <w:t xml:space="preserve">SIMARD, M.; DUPUIS-BLANCHARD, S.; VILLALON, L.; GOULD, O.; ÉTHIER, S.; GIBBONS, E. </w:t>
      </w:r>
      <w:proofErr w:type="spellStart"/>
      <w:r w:rsidRPr="00BE2185">
        <w:rPr>
          <w:rFonts w:ascii="Arial" w:eastAsia="Arial" w:hAnsi="Arial" w:cs="Arial"/>
          <w:sz w:val="20"/>
          <w:szCs w:val="20"/>
          <w:highlight w:val="white"/>
        </w:rPr>
        <w:t>L’influence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du</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contexte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sociolinguistique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minoritaire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sur</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le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maintien</w:t>
      </w:r>
      <w:proofErr w:type="spellEnd"/>
      <w:r w:rsidRPr="00BE2185">
        <w:rPr>
          <w:rFonts w:ascii="Arial" w:eastAsia="Arial" w:hAnsi="Arial" w:cs="Arial"/>
          <w:sz w:val="20"/>
          <w:szCs w:val="20"/>
          <w:highlight w:val="white"/>
        </w:rPr>
        <w:t xml:space="preserve"> à </w:t>
      </w:r>
      <w:proofErr w:type="spellStart"/>
      <w:r w:rsidRPr="00BE2185">
        <w:rPr>
          <w:rFonts w:ascii="Arial" w:eastAsia="Arial" w:hAnsi="Arial" w:cs="Arial"/>
          <w:sz w:val="20"/>
          <w:szCs w:val="20"/>
          <w:highlight w:val="white"/>
        </w:rPr>
        <w:t>domicile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des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aînés</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en</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milieu</w:t>
      </w:r>
      <w:proofErr w:type="spellEnd"/>
      <w:r w:rsidRPr="00BE2185">
        <w:rPr>
          <w:rFonts w:ascii="Arial" w:eastAsia="Arial" w:hAnsi="Arial" w:cs="Arial"/>
          <w:sz w:val="20"/>
          <w:szCs w:val="20"/>
          <w:highlight w:val="white"/>
        </w:rPr>
        <w:t xml:space="preserve"> rural </w:t>
      </w:r>
      <w:proofErr w:type="spellStart"/>
      <w:proofErr w:type="gramStart"/>
      <w:r w:rsidRPr="00BE2185">
        <w:rPr>
          <w:rFonts w:ascii="Arial" w:eastAsia="Arial" w:hAnsi="Arial" w:cs="Arial"/>
          <w:sz w:val="20"/>
          <w:szCs w:val="20"/>
          <w:highlight w:val="white"/>
        </w:rPr>
        <w:t>dévitalisé</w:t>
      </w:r>
      <w:proofErr w:type="spellEnd"/>
      <w:r w:rsidRPr="00BE2185">
        <w:rPr>
          <w:rFonts w:ascii="Arial" w:eastAsia="Arial" w:hAnsi="Arial" w:cs="Arial"/>
          <w:sz w:val="20"/>
          <w:szCs w:val="20"/>
          <w:highlight w:val="white"/>
        </w:rPr>
        <w:t xml:space="preserve"> :</w:t>
      </w:r>
      <w:proofErr w:type="gram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le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cas</w:t>
      </w:r>
      <w:proofErr w:type="spellEnd"/>
      <w:r w:rsidRPr="00BE2185">
        <w:rPr>
          <w:rFonts w:ascii="Arial" w:eastAsia="Arial" w:hAnsi="Arial" w:cs="Arial"/>
          <w:sz w:val="20"/>
          <w:szCs w:val="20"/>
          <w:highlight w:val="white"/>
        </w:rPr>
        <w:t xml:space="preserve"> d’</w:t>
      </w:r>
      <w:proofErr w:type="spellStart"/>
      <w:r w:rsidRPr="00BE2185">
        <w:rPr>
          <w:rFonts w:ascii="Arial" w:eastAsia="Arial" w:hAnsi="Arial" w:cs="Arial"/>
          <w:sz w:val="20"/>
          <w:szCs w:val="20"/>
          <w:highlight w:val="white"/>
        </w:rPr>
        <w:t>Acadieville</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au</w:t>
      </w:r>
      <w:proofErr w:type="spellEnd"/>
      <w:r w:rsidRPr="00BE2185">
        <w:rPr>
          <w:rFonts w:ascii="Arial" w:eastAsia="Arial" w:hAnsi="Arial" w:cs="Arial"/>
          <w:sz w:val="20"/>
          <w:szCs w:val="20"/>
          <w:highlight w:val="white"/>
        </w:rPr>
        <w:t xml:space="preserve"> Nouveau-Brunswick. </w:t>
      </w:r>
      <w:r w:rsidRPr="00BE2185">
        <w:rPr>
          <w:rFonts w:ascii="Arial" w:eastAsia="Arial" w:hAnsi="Arial" w:cs="Arial"/>
          <w:b/>
          <w:sz w:val="20"/>
          <w:szCs w:val="20"/>
          <w:highlight w:val="white"/>
          <w:lang w:val="en-GB"/>
        </w:rPr>
        <w:t>Revue canadienne du vieillissement</w:t>
      </w:r>
      <w:r w:rsidRPr="00BE2185">
        <w:rPr>
          <w:rFonts w:ascii="Arial" w:eastAsia="Arial" w:hAnsi="Arial" w:cs="Arial"/>
          <w:sz w:val="20"/>
          <w:szCs w:val="20"/>
          <w:highlight w:val="white"/>
          <w:lang w:val="en-GB"/>
        </w:rPr>
        <w:t>, 34, (2), 194-206, 2015.</w:t>
      </w:r>
    </w:p>
    <w:p w14:paraId="000000E3"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rPr>
      </w:pPr>
      <w:r w:rsidRPr="00BE2185">
        <w:rPr>
          <w:rFonts w:ascii="Arial" w:eastAsia="Arial" w:hAnsi="Arial" w:cs="Arial"/>
          <w:sz w:val="20"/>
          <w:szCs w:val="20"/>
          <w:highlight w:val="white"/>
          <w:lang w:val="en-GB"/>
        </w:rPr>
        <w:t xml:space="preserve">Statistics Canada. </w:t>
      </w:r>
      <w:r w:rsidRPr="00BE2185">
        <w:rPr>
          <w:rFonts w:ascii="Arial" w:eastAsia="Arial" w:hAnsi="Arial" w:cs="Arial"/>
          <w:b/>
          <w:sz w:val="20"/>
          <w:szCs w:val="20"/>
          <w:highlight w:val="white"/>
          <w:lang w:val="en-GB"/>
        </w:rPr>
        <w:t>Census of Population, 2016</w:t>
      </w:r>
      <w:r w:rsidRPr="00BE2185">
        <w:rPr>
          <w:rFonts w:ascii="Arial" w:eastAsia="Arial" w:hAnsi="Arial" w:cs="Arial"/>
          <w:sz w:val="20"/>
          <w:szCs w:val="20"/>
          <w:highlight w:val="white"/>
          <w:lang w:val="en-GB"/>
        </w:rPr>
        <w:t xml:space="preserve">: Profile for Canada, Provinces, Territories, Census Divisions, Census Subdivisions and Dissemination Areas. </w:t>
      </w:r>
      <w:proofErr w:type="spellStart"/>
      <w:r w:rsidRPr="00BE2185">
        <w:rPr>
          <w:rFonts w:ascii="Arial" w:eastAsia="Arial" w:hAnsi="Arial" w:cs="Arial"/>
          <w:sz w:val="20"/>
          <w:szCs w:val="20"/>
          <w:highlight w:val="white"/>
        </w:rPr>
        <w:t>Government</w:t>
      </w:r>
      <w:proofErr w:type="spellEnd"/>
      <w:r w:rsidRPr="00BE2185">
        <w:rPr>
          <w:rFonts w:ascii="Arial" w:eastAsia="Arial" w:hAnsi="Arial" w:cs="Arial"/>
          <w:sz w:val="20"/>
          <w:szCs w:val="20"/>
          <w:highlight w:val="white"/>
        </w:rPr>
        <w:t xml:space="preserve"> </w:t>
      </w:r>
      <w:proofErr w:type="spellStart"/>
      <w:proofErr w:type="gramStart"/>
      <w:r w:rsidRPr="00BE2185">
        <w:rPr>
          <w:rFonts w:ascii="Arial" w:eastAsia="Arial" w:hAnsi="Arial" w:cs="Arial"/>
          <w:sz w:val="20"/>
          <w:szCs w:val="20"/>
          <w:highlight w:val="white"/>
        </w:rPr>
        <w:t>of</w:t>
      </w:r>
      <w:proofErr w:type="spellEnd"/>
      <w:r w:rsidRPr="00BE2185">
        <w:rPr>
          <w:rFonts w:ascii="Arial" w:eastAsia="Arial" w:hAnsi="Arial" w:cs="Arial"/>
          <w:sz w:val="20"/>
          <w:szCs w:val="20"/>
          <w:highlight w:val="white"/>
        </w:rPr>
        <w:t xml:space="preserve"> Canada</w:t>
      </w:r>
      <w:proofErr w:type="gramEnd"/>
      <w:r w:rsidRPr="00BE2185">
        <w:rPr>
          <w:rFonts w:ascii="Arial" w:eastAsia="Arial" w:hAnsi="Arial" w:cs="Arial"/>
          <w:sz w:val="20"/>
          <w:szCs w:val="20"/>
          <w:highlight w:val="white"/>
        </w:rPr>
        <w:t xml:space="preserve">, 2016. </w:t>
      </w:r>
    </w:p>
    <w:p w14:paraId="000000E4"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lang w:val="en-GB"/>
        </w:rPr>
      </w:pPr>
      <w:r w:rsidRPr="00BE2185">
        <w:rPr>
          <w:rFonts w:ascii="Arial" w:eastAsia="Arial" w:hAnsi="Arial" w:cs="Arial"/>
          <w:sz w:val="20"/>
          <w:szCs w:val="20"/>
          <w:highlight w:val="white"/>
        </w:rPr>
        <w:t xml:space="preserve">VASCONCELOS, A. M. N.; GOMES, M. M. F. Transição demográfica: a experiência brasileira. </w:t>
      </w:r>
      <w:r w:rsidRPr="00BE2185">
        <w:rPr>
          <w:rFonts w:ascii="Arial" w:eastAsia="Arial" w:hAnsi="Arial" w:cs="Arial"/>
          <w:b/>
          <w:sz w:val="20"/>
          <w:szCs w:val="20"/>
          <w:highlight w:val="white"/>
          <w:lang w:val="en-GB"/>
        </w:rPr>
        <w:t xml:space="preserve">Epidemiol. Serv. </w:t>
      </w:r>
      <w:proofErr w:type="gramStart"/>
      <w:r w:rsidRPr="00BE2185">
        <w:rPr>
          <w:rFonts w:ascii="Arial" w:eastAsia="Arial" w:hAnsi="Arial" w:cs="Arial"/>
          <w:b/>
          <w:sz w:val="20"/>
          <w:szCs w:val="20"/>
          <w:highlight w:val="white"/>
          <w:lang w:val="en-GB"/>
        </w:rPr>
        <w:t>Saúde</w:t>
      </w:r>
      <w:r w:rsidRPr="00BE2185">
        <w:rPr>
          <w:rFonts w:ascii="Arial" w:eastAsia="Arial" w:hAnsi="Arial" w:cs="Arial"/>
          <w:sz w:val="20"/>
          <w:szCs w:val="20"/>
          <w:highlight w:val="white"/>
          <w:lang w:val="en-GB"/>
        </w:rPr>
        <w:t>,  Brasília</w:t>
      </w:r>
      <w:proofErr w:type="gramEnd"/>
      <w:r w:rsidRPr="00BE2185">
        <w:rPr>
          <w:rFonts w:ascii="Arial" w:eastAsia="Arial" w:hAnsi="Arial" w:cs="Arial"/>
          <w:sz w:val="20"/>
          <w:szCs w:val="20"/>
          <w:highlight w:val="white"/>
          <w:lang w:val="en-GB"/>
        </w:rPr>
        <w:t xml:space="preserve"> ,  v. 21, n. 4, p. 539-548,  dez.  </w:t>
      </w:r>
      <w:proofErr w:type="gramStart"/>
      <w:r w:rsidRPr="00BE2185">
        <w:rPr>
          <w:rFonts w:ascii="Arial" w:eastAsia="Arial" w:hAnsi="Arial" w:cs="Arial"/>
          <w:sz w:val="20"/>
          <w:szCs w:val="20"/>
          <w:highlight w:val="white"/>
          <w:lang w:val="en-GB"/>
        </w:rPr>
        <w:t>2012 .</w:t>
      </w:r>
      <w:proofErr w:type="gramEnd"/>
      <w:r w:rsidRPr="00BE2185">
        <w:rPr>
          <w:rFonts w:ascii="Arial" w:eastAsia="Arial" w:hAnsi="Arial" w:cs="Arial"/>
          <w:sz w:val="20"/>
          <w:szCs w:val="20"/>
          <w:highlight w:val="white"/>
          <w:lang w:val="en-GB"/>
        </w:rPr>
        <w:t xml:space="preserve">   </w:t>
      </w:r>
    </w:p>
    <w:p w14:paraId="000000E5"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lang w:val="en-GB"/>
        </w:rPr>
      </w:pPr>
      <w:proofErr w:type="gramStart"/>
      <w:r w:rsidRPr="00BE2185">
        <w:rPr>
          <w:rFonts w:ascii="Arial" w:eastAsia="Arial" w:hAnsi="Arial" w:cs="Arial"/>
          <w:sz w:val="20"/>
          <w:szCs w:val="20"/>
          <w:highlight w:val="white"/>
          <w:lang w:val="en-GB"/>
        </w:rPr>
        <w:t>WHO.</w:t>
      </w:r>
      <w:proofErr w:type="gramEnd"/>
      <w:r w:rsidRPr="00BE2185">
        <w:rPr>
          <w:rFonts w:ascii="Arial" w:eastAsia="Arial" w:hAnsi="Arial" w:cs="Arial"/>
          <w:sz w:val="20"/>
          <w:szCs w:val="20"/>
          <w:highlight w:val="white"/>
          <w:lang w:val="en-GB"/>
        </w:rPr>
        <w:t xml:space="preserve"> World Health Organization. </w:t>
      </w:r>
      <w:r w:rsidRPr="00BE2185">
        <w:rPr>
          <w:rFonts w:ascii="Arial" w:eastAsia="Arial" w:hAnsi="Arial" w:cs="Arial"/>
          <w:b/>
          <w:sz w:val="20"/>
          <w:szCs w:val="20"/>
          <w:highlight w:val="white"/>
          <w:lang w:val="en-GB"/>
        </w:rPr>
        <w:t>A conceptual framework for action on social determinants of health.</w:t>
      </w:r>
      <w:r w:rsidRPr="00BE2185">
        <w:rPr>
          <w:rFonts w:ascii="Arial" w:eastAsia="Arial" w:hAnsi="Arial" w:cs="Arial"/>
          <w:sz w:val="20"/>
          <w:szCs w:val="20"/>
          <w:highlight w:val="white"/>
          <w:lang w:val="en-GB"/>
        </w:rPr>
        <w:t xml:space="preserve"> Geneva: World Health Organization, 2010.</w:t>
      </w:r>
    </w:p>
    <w:p w14:paraId="000000E6"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lang w:val="en-GB"/>
        </w:rPr>
      </w:pPr>
      <w:proofErr w:type="gramStart"/>
      <w:r w:rsidRPr="00BE2185">
        <w:rPr>
          <w:rFonts w:ascii="Arial" w:eastAsia="Arial" w:hAnsi="Arial" w:cs="Arial"/>
          <w:sz w:val="20"/>
          <w:szCs w:val="20"/>
          <w:highlight w:val="white"/>
          <w:lang w:val="en-GB"/>
        </w:rPr>
        <w:t>WHO.</w:t>
      </w:r>
      <w:proofErr w:type="gramEnd"/>
      <w:r w:rsidRPr="00BE2185">
        <w:rPr>
          <w:rFonts w:ascii="Arial" w:eastAsia="Arial" w:hAnsi="Arial" w:cs="Arial"/>
          <w:sz w:val="20"/>
          <w:szCs w:val="20"/>
          <w:highlight w:val="white"/>
          <w:lang w:val="en-GB"/>
        </w:rPr>
        <w:t xml:space="preserve"> World Health Organization. </w:t>
      </w:r>
      <w:r w:rsidRPr="00BE2185">
        <w:rPr>
          <w:rFonts w:ascii="Arial" w:eastAsia="Arial" w:hAnsi="Arial" w:cs="Arial"/>
          <w:b/>
          <w:sz w:val="20"/>
          <w:szCs w:val="20"/>
          <w:highlight w:val="white"/>
          <w:lang w:val="en-GB"/>
        </w:rPr>
        <w:t>Ageing and health.</w:t>
      </w:r>
      <w:r w:rsidRPr="00BE2185">
        <w:rPr>
          <w:rFonts w:ascii="Arial" w:eastAsia="Arial" w:hAnsi="Arial" w:cs="Arial"/>
          <w:sz w:val="20"/>
          <w:szCs w:val="20"/>
          <w:highlight w:val="white"/>
          <w:lang w:val="en-GB"/>
        </w:rPr>
        <w:t xml:space="preserve"> New York: World Health Organization, 2018. </w:t>
      </w:r>
    </w:p>
    <w:p w14:paraId="000000E7"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highlight w:val="white"/>
          <w:lang w:val="en-GB"/>
        </w:rPr>
      </w:pPr>
      <w:r w:rsidRPr="00BE2185">
        <w:rPr>
          <w:rFonts w:ascii="Arial" w:eastAsia="Arial" w:hAnsi="Arial" w:cs="Arial"/>
          <w:sz w:val="20"/>
          <w:szCs w:val="20"/>
          <w:highlight w:val="white"/>
          <w:lang w:val="en-GB"/>
        </w:rPr>
        <w:t xml:space="preserve">WONG, L.R.; CARVALHO, J.M. Age-strucutural transition in Brazil: demographic bonuses and emerging challenges. In: POLL, I.; WONG, L.R; VILQUIN, E. (Org). </w:t>
      </w:r>
      <w:r w:rsidRPr="00BE2185">
        <w:rPr>
          <w:rFonts w:ascii="Arial" w:eastAsia="Arial" w:hAnsi="Arial" w:cs="Arial"/>
          <w:b/>
          <w:sz w:val="20"/>
          <w:szCs w:val="20"/>
          <w:highlight w:val="white"/>
          <w:lang w:val="en-GB"/>
        </w:rPr>
        <w:t>Age-structural transitions: challenges for development.</w:t>
      </w:r>
      <w:r w:rsidRPr="00BE2185">
        <w:rPr>
          <w:rFonts w:ascii="Arial" w:eastAsia="Arial" w:hAnsi="Arial" w:cs="Arial"/>
          <w:sz w:val="20"/>
          <w:szCs w:val="20"/>
          <w:highlight w:val="white"/>
          <w:lang w:val="en-GB"/>
        </w:rPr>
        <w:t xml:space="preserve"> Paris: Committee for International Cooperation in National Research in Demography; 2006. </w:t>
      </w:r>
    </w:p>
    <w:p w14:paraId="000000E8" w14:textId="77777777" w:rsidR="00E32736" w:rsidRPr="00BE2185" w:rsidRDefault="00E1541E" w:rsidP="00BE21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Arial" w:eastAsia="Arial" w:hAnsi="Arial" w:cs="Arial"/>
          <w:sz w:val="20"/>
          <w:szCs w:val="20"/>
        </w:rPr>
      </w:pPr>
      <w:r w:rsidRPr="00BE2185">
        <w:rPr>
          <w:rFonts w:ascii="Arial" w:eastAsia="Arial" w:hAnsi="Arial" w:cs="Arial"/>
          <w:sz w:val="20"/>
          <w:szCs w:val="20"/>
          <w:highlight w:val="white"/>
          <w:lang w:val="en-GB"/>
        </w:rPr>
        <w:t xml:space="preserve">ZIMMERMAN, E. B., WOOLF, S. H., SIMON, S. M., KIMMEL, A. D., BARNES, A. J., BONO, R. S.  </w:t>
      </w:r>
      <w:r w:rsidRPr="00BE2185">
        <w:rPr>
          <w:rFonts w:ascii="Arial" w:eastAsia="Arial" w:hAnsi="Arial" w:cs="Arial"/>
          <w:sz w:val="20"/>
          <w:szCs w:val="20"/>
          <w:highlight w:val="white"/>
        </w:rPr>
        <w:t xml:space="preserve">The case for </w:t>
      </w:r>
      <w:proofErr w:type="spellStart"/>
      <w:r w:rsidRPr="00BE2185">
        <w:rPr>
          <w:rFonts w:ascii="Arial" w:eastAsia="Arial" w:hAnsi="Arial" w:cs="Arial"/>
          <w:sz w:val="20"/>
          <w:szCs w:val="20"/>
          <w:highlight w:val="white"/>
        </w:rPr>
        <w:t>considering</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education</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and</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sz w:val="20"/>
          <w:szCs w:val="20"/>
          <w:highlight w:val="white"/>
        </w:rPr>
        <w:t>health</w:t>
      </w:r>
      <w:proofErr w:type="spellEnd"/>
      <w:r w:rsidRPr="00BE2185">
        <w:rPr>
          <w:rFonts w:ascii="Arial" w:eastAsia="Arial" w:hAnsi="Arial" w:cs="Arial"/>
          <w:sz w:val="20"/>
          <w:szCs w:val="20"/>
          <w:highlight w:val="white"/>
        </w:rPr>
        <w:t xml:space="preserve">. </w:t>
      </w:r>
      <w:proofErr w:type="spellStart"/>
      <w:r w:rsidRPr="00BE2185">
        <w:rPr>
          <w:rFonts w:ascii="Arial" w:eastAsia="Arial" w:hAnsi="Arial" w:cs="Arial"/>
          <w:b/>
          <w:sz w:val="20"/>
          <w:szCs w:val="20"/>
          <w:highlight w:val="white"/>
        </w:rPr>
        <w:t>Urban</w:t>
      </w:r>
      <w:proofErr w:type="spellEnd"/>
      <w:r w:rsidRPr="00BE2185">
        <w:rPr>
          <w:rFonts w:ascii="Arial" w:eastAsia="Arial" w:hAnsi="Arial" w:cs="Arial"/>
          <w:b/>
          <w:sz w:val="20"/>
          <w:szCs w:val="20"/>
          <w:highlight w:val="white"/>
        </w:rPr>
        <w:t xml:space="preserve"> </w:t>
      </w:r>
      <w:proofErr w:type="spellStart"/>
      <w:r w:rsidRPr="00BE2185">
        <w:rPr>
          <w:rFonts w:ascii="Arial" w:eastAsia="Arial" w:hAnsi="Arial" w:cs="Arial"/>
          <w:b/>
          <w:sz w:val="20"/>
          <w:szCs w:val="20"/>
          <w:highlight w:val="white"/>
        </w:rPr>
        <w:t>Education</w:t>
      </w:r>
      <w:proofErr w:type="spellEnd"/>
      <w:r w:rsidRPr="00BE2185">
        <w:rPr>
          <w:rFonts w:ascii="Arial" w:eastAsia="Arial" w:hAnsi="Arial" w:cs="Arial"/>
          <w:sz w:val="20"/>
          <w:szCs w:val="20"/>
          <w:highlight w:val="white"/>
        </w:rPr>
        <w:t xml:space="preserve">, 53, 744-773, 2018. </w:t>
      </w:r>
    </w:p>
    <w:p w14:paraId="000000E9" w14:textId="77777777" w:rsidR="00E32736" w:rsidRDefault="00E3273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331" w:lineRule="auto"/>
        <w:jc w:val="both"/>
        <w:rPr>
          <w:b/>
          <w:color w:val="000000"/>
          <w:highlight w:val="white"/>
        </w:rPr>
      </w:pPr>
    </w:p>
    <w:sectPr w:rsidR="00E32736" w:rsidSect="00BE2185">
      <w:headerReference w:type="default" r:id="rId10"/>
      <w:footerReference w:type="default" r:id="rId11"/>
      <w:pgSz w:w="11906" w:h="16838"/>
      <w:pgMar w:top="1418" w:right="1134" w:bottom="1418" w:left="1701" w:header="709" w:footer="709" w:gutter="0"/>
      <w:pgNumType w:start="6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D94A7" w14:textId="77777777" w:rsidR="00C40F1C" w:rsidRDefault="00C40F1C">
      <w:pPr>
        <w:spacing w:after="0" w:line="240" w:lineRule="auto"/>
      </w:pPr>
      <w:r>
        <w:separator/>
      </w:r>
    </w:p>
  </w:endnote>
  <w:endnote w:type="continuationSeparator" w:id="0">
    <w:p w14:paraId="12796EDE" w14:textId="77777777" w:rsidR="00C40F1C" w:rsidRDefault="00C40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978526"/>
      <w:docPartObj>
        <w:docPartGallery w:val="Page Numbers (Bottom of Page)"/>
        <w:docPartUnique/>
      </w:docPartObj>
    </w:sdtPr>
    <w:sdtContent>
      <w:p w14:paraId="4C7C582D" w14:textId="5E1BBEEF" w:rsidR="00BE2185" w:rsidRDefault="00BE2185">
        <w:pPr>
          <w:pStyle w:val="Rodap"/>
          <w:jc w:val="right"/>
        </w:pPr>
        <w:r>
          <w:fldChar w:fldCharType="begin"/>
        </w:r>
        <w:r>
          <w:instrText>PAGE   \* MERGEFORMAT</w:instrText>
        </w:r>
        <w:r>
          <w:fldChar w:fldCharType="separate"/>
        </w:r>
        <w:r>
          <w:t>2</w:t>
        </w:r>
        <w:r>
          <w:fldChar w:fldCharType="end"/>
        </w:r>
      </w:p>
    </w:sdtContent>
  </w:sdt>
  <w:p w14:paraId="000000F0" w14:textId="61C48DAF" w:rsidR="00E32736" w:rsidRDefault="00E32736">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B976A" w14:textId="77777777" w:rsidR="00C40F1C" w:rsidRDefault="00C40F1C">
      <w:pPr>
        <w:spacing w:after="0" w:line="240" w:lineRule="auto"/>
      </w:pPr>
      <w:r>
        <w:separator/>
      </w:r>
    </w:p>
  </w:footnote>
  <w:footnote w:type="continuationSeparator" w:id="0">
    <w:p w14:paraId="0B3D19C5" w14:textId="77777777" w:rsidR="00C40F1C" w:rsidRDefault="00C40F1C">
      <w:pPr>
        <w:spacing w:after="0" w:line="240" w:lineRule="auto"/>
      </w:pPr>
      <w:r>
        <w:continuationSeparator/>
      </w:r>
    </w:p>
  </w:footnote>
  <w:footnote w:id="1">
    <w:p w14:paraId="000000EA" w14:textId="77777777" w:rsidR="00E32736" w:rsidRDefault="00E1541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Doutorando em Geografia, FCT-UNESP Presidente Prudente, Brasil; </w:t>
      </w:r>
      <w:hyperlink r:id="rId1">
        <w:r>
          <w:rPr>
            <w:color w:val="0000FF"/>
            <w:sz w:val="20"/>
            <w:szCs w:val="20"/>
            <w:u w:val="single"/>
          </w:rPr>
          <w:t>antuneslimaf@gmail.com</w:t>
        </w:r>
      </w:hyperlink>
    </w:p>
  </w:footnote>
  <w:footnote w:id="2">
    <w:p w14:paraId="000000EB" w14:textId="77777777" w:rsidR="00E32736" w:rsidRDefault="00E1541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Professora Titular em Ciências Sociais, Universidade de Ottawa, Canadá; </w:t>
      </w:r>
      <w:hyperlink r:id="rId2">
        <w:r>
          <w:rPr>
            <w:color w:val="0000FF"/>
            <w:sz w:val="20"/>
            <w:szCs w:val="20"/>
            <w:u w:val="single"/>
          </w:rPr>
          <w:t>louise.bouchard@uottawa.ca</w:t>
        </w:r>
      </w:hyperlink>
    </w:p>
    <w:p w14:paraId="000000EC" w14:textId="77777777" w:rsidR="00E32736" w:rsidRDefault="00E32736">
      <w:pPr>
        <w:pBdr>
          <w:top w:val="nil"/>
          <w:left w:val="nil"/>
          <w:bottom w:val="nil"/>
          <w:right w:val="nil"/>
          <w:between w:val="nil"/>
        </w:pBdr>
        <w:spacing w:after="0" w:line="240" w:lineRule="auto"/>
        <w:rPr>
          <w:rFonts w:ascii="Arial" w:eastAsia="Arial" w:hAnsi="Arial" w:cs="Arial"/>
          <w:color w:val="0000FF"/>
          <w:sz w:val="20"/>
          <w:szCs w:val="20"/>
          <w:u w:val="single"/>
        </w:rPr>
      </w:pPr>
    </w:p>
    <w:p w14:paraId="000000ED" w14:textId="77777777" w:rsidR="00E32736" w:rsidRDefault="00E32736">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E" w14:textId="5F15AAC6" w:rsidR="00E32736" w:rsidRDefault="00E32736">
    <w:pPr>
      <w:pBdr>
        <w:top w:val="nil"/>
        <w:left w:val="nil"/>
        <w:bottom w:val="nil"/>
        <w:right w:val="nil"/>
        <w:between w:val="nil"/>
      </w:pBdr>
      <w:tabs>
        <w:tab w:val="center" w:pos="4252"/>
        <w:tab w:val="right" w:pos="8504"/>
      </w:tabs>
      <w:spacing w:after="0" w:line="240" w:lineRule="auto"/>
      <w:jc w:val="right"/>
      <w:rPr>
        <w:color w:val="000000"/>
      </w:rPr>
    </w:pPr>
  </w:p>
  <w:p w14:paraId="000000EF" w14:textId="4449E1A8" w:rsidR="00E32736" w:rsidRDefault="008842A5">
    <w:pPr>
      <w:pBdr>
        <w:top w:val="nil"/>
        <w:left w:val="nil"/>
        <w:bottom w:val="nil"/>
        <w:right w:val="nil"/>
        <w:between w:val="nil"/>
      </w:pBdr>
      <w:tabs>
        <w:tab w:val="center" w:pos="4252"/>
        <w:tab w:val="right" w:pos="8504"/>
      </w:tabs>
      <w:spacing w:after="0" w:line="240" w:lineRule="auto"/>
      <w:rPr>
        <w:color w:val="000000"/>
      </w:rPr>
    </w:pPr>
    <w:r>
      <w:rPr>
        <w:noProof/>
      </w:rPr>
      <w:drawing>
        <wp:inline distT="0" distB="0" distL="0" distR="0" wp14:anchorId="7CB75B1F" wp14:editId="0703F16F">
          <wp:extent cx="5760085" cy="130238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22B8BFB1" w14:textId="7ABD9F01" w:rsidR="00BE2185" w:rsidRDefault="00BE2185" w:rsidP="00BE2185">
    <w:pPr>
      <w:pStyle w:val="Cabealho"/>
      <w:jc w:val="both"/>
      <w:rPr>
        <w:rFonts w:ascii="Arial" w:hAnsi="Arial" w:cs="Arial"/>
        <w:b/>
        <w:bCs/>
        <w:color w:val="000000"/>
        <w:sz w:val="16"/>
        <w:szCs w:val="16"/>
      </w:rPr>
    </w:pPr>
    <w:bookmarkStart w:id="0" w:name="_Hlk79857344"/>
    <w:r>
      <w:rPr>
        <w:color w:val="000000"/>
        <w:sz w:val="16"/>
        <w:szCs w:val="16"/>
      </w:rPr>
      <w:t>LIMA, F.A.; BOUCHARD, L</w:t>
    </w:r>
    <w:r>
      <w:rPr>
        <w:color w:val="000000"/>
        <w:sz w:val="16"/>
        <w:szCs w:val="16"/>
      </w:rPr>
      <w:t xml:space="preserve">. </w:t>
    </w:r>
    <w:r>
      <w:rPr>
        <w:b/>
        <w:bCs/>
        <w:color w:val="000000"/>
        <w:sz w:val="16"/>
        <w:szCs w:val="16"/>
      </w:rPr>
      <w:t xml:space="preserve">Determinantes sociais da saúde de minorias linguísticas: </w:t>
    </w:r>
    <w:r>
      <w:rPr>
        <w:color w:val="000000"/>
        <w:sz w:val="16"/>
        <w:szCs w:val="16"/>
      </w:rPr>
      <w:t>análise comparativa sobre o nível de renda e educação de populações francófonas idosas na província de Ontário, Canadá</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684-696</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0"/>
  <w:p w14:paraId="6162B63B" w14:textId="77777777" w:rsidR="008842A5" w:rsidRDefault="008842A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736"/>
    <w:rsid w:val="008842A5"/>
    <w:rsid w:val="00BE2185"/>
    <w:rsid w:val="00C40F1C"/>
    <w:rsid w:val="00E1541E"/>
    <w:rsid w:val="00E327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33E0"/>
  <w15:docId w15:val="{E8656229-ED54-46D1-BD3B-D8C7CDBF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paragraph" w:styleId="Cabealho">
    <w:name w:val="header"/>
    <w:basedOn w:val="Normal"/>
    <w:link w:val="CabealhoChar"/>
    <w:uiPriority w:val="99"/>
    <w:unhideWhenUsed/>
    <w:rsid w:val="008842A5"/>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8842A5"/>
  </w:style>
  <w:style w:type="paragraph" w:styleId="Rodap">
    <w:name w:val="footer"/>
    <w:basedOn w:val="Normal"/>
    <w:link w:val="RodapChar"/>
    <w:uiPriority w:val="99"/>
    <w:unhideWhenUsed/>
    <w:rsid w:val="008842A5"/>
    <w:pPr>
      <w:tabs>
        <w:tab w:val="center" w:pos="4252"/>
        <w:tab w:val="right" w:pos="8504"/>
      </w:tabs>
      <w:spacing w:after="0" w:line="240" w:lineRule="auto"/>
    </w:pPr>
  </w:style>
  <w:style w:type="character" w:customStyle="1" w:styleId="RodapChar">
    <w:name w:val="Rodapé Char"/>
    <w:basedOn w:val="Fontepargpadro"/>
    <w:link w:val="Rodap"/>
    <w:uiPriority w:val="99"/>
    <w:rsid w:val="008842A5"/>
  </w:style>
  <w:style w:type="character" w:styleId="Hyperlink">
    <w:name w:val="Hyperlink"/>
    <w:basedOn w:val="Fontepargpadro"/>
    <w:uiPriority w:val="99"/>
    <w:unhideWhenUsed/>
    <w:rsid w:val="00BE2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mailto:louise.bouchard@uottawa.ca" TargetMode="External"/><Relationship Id="rId1" Type="http://schemas.openxmlformats.org/officeDocument/2006/relationships/hyperlink" Target="mailto:antuneslimaf@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4460</Words>
  <Characters>24087</Characters>
  <Application>Microsoft Office Word</Application>
  <DocSecurity>0</DocSecurity>
  <Lines>200</Lines>
  <Paragraphs>56</Paragraphs>
  <ScaleCrop>false</ScaleCrop>
  <Company/>
  <LinksUpToDate>false</LinksUpToDate>
  <CharactersWithSpaces>28491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XISTO SOUZA JÚNIOR</cp:lastModifiedBy>
  <cp:revision>3</cp:revision>
  <dcterms:created xsi:type="dcterms:W3CDTF">2021-08-13T01:15:00Z</dcterms:created>
  <dcterms:modified xsi:type="dcterms:W3CDTF">2021-08-15T15:03:00Z</dcterms:modified>
</cp:coreProperties>
</file>